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D18" w:rsidRPr="003B7D18" w:rsidRDefault="003B7D18" w:rsidP="003B7D18">
      <w:pPr>
        <w:jc w:val="center"/>
        <w:rPr>
          <w:sz w:val="36"/>
        </w:rPr>
      </w:pPr>
      <w:r w:rsidRPr="003B7D18">
        <w:rPr>
          <w:sz w:val="36"/>
        </w:rPr>
        <w:t>MACROECONOMÍA INTERMEDIA 2: FÓRMULAS</w:t>
      </w:r>
    </w:p>
    <w:p w:rsidR="003B7D18" w:rsidRDefault="003B7D18" w:rsidP="002115C5">
      <w:pPr>
        <w:spacing w:after="0"/>
      </w:pPr>
    </w:p>
    <w:p w:rsidR="00CF6EA9" w:rsidRDefault="00D91333">
      <w:pPr>
        <w:rPr>
          <w:sz w:val="32"/>
        </w:rPr>
      </w:pPr>
      <w:r w:rsidRPr="00D91333">
        <w:rPr>
          <w:sz w:val="32"/>
        </w:rPr>
        <w:t>TEMA 1: MERCADO DE DIVISAS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3B7D18" w:rsidTr="003B7D18">
        <w:tc>
          <w:tcPr>
            <w:tcW w:w="4322" w:type="dxa"/>
          </w:tcPr>
          <w:p w:rsidR="003B7D18" w:rsidRDefault="003B7D18" w:rsidP="003B7D18">
            <w:r>
              <w:t>ARBITRAJE SIN RIESGO:</w:t>
            </w:r>
            <w:r>
              <w:br/>
              <w:t>PARIDAD CUBIERTA DE INTERESES</w:t>
            </w:r>
          </w:p>
          <w:p w:rsidR="003B7D18" w:rsidRDefault="003B7D18" w:rsidP="00C50CAC">
            <w:pPr>
              <w:spacing w:after="200"/>
            </w:pPr>
            <w:r w:rsidRPr="003B7D18">
              <w:rPr>
                <w:position w:val="-30"/>
              </w:rPr>
              <w:object w:dxaOrig="202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0.55pt;height:35.3pt" o:ole="">
                  <v:imagedata r:id="rId5" o:title=""/>
                </v:shape>
                <o:OLEObject Type="Embed" ProgID="Equation.DSMT4" ShapeID="_x0000_i1025" DrawAspect="Content" ObjectID="_1519662449" r:id="rId6"/>
              </w:object>
            </w:r>
          </w:p>
          <w:p w:rsidR="00C50CAC" w:rsidRDefault="00C50CAC" w:rsidP="00C50CAC">
            <w:pPr>
              <w:spacing w:after="200"/>
            </w:pPr>
            <w:r>
              <w:t xml:space="preserve">En equilibrio: </w:t>
            </w:r>
            <w:r w:rsidRPr="00C50CAC">
              <w:rPr>
                <w:position w:val="-12"/>
              </w:rPr>
              <w:object w:dxaOrig="1040" w:dyaOrig="380">
                <v:shape id="_x0000_i1026" type="#_x0000_t75" style="width:51.6pt;height:19pt" o:ole="">
                  <v:imagedata r:id="rId7" o:title=""/>
                </v:shape>
                <o:OLEObject Type="Embed" ProgID="Equation.DSMT4" ShapeID="_x0000_i1026" DrawAspect="Content" ObjectID="_1519662450" r:id="rId8"/>
              </w:object>
            </w:r>
          </w:p>
        </w:tc>
        <w:tc>
          <w:tcPr>
            <w:tcW w:w="4322" w:type="dxa"/>
          </w:tcPr>
          <w:p w:rsidR="003B7D18" w:rsidRDefault="003B7D18" w:rsidP="003B7D18">
            <w:r>
              <w:t>ARBITRAJE CON RIESGO:</w:t>
            </w:r>
            <w:r>
              <w:br/>
              <w:t>PARIDAD DESCUBIERTA DE INTERESES</w:t>
            </w:r>
          </w:p>
          <w:p w:rsidR="003B7D18" w:rsidRDefault="003B7D18" w:rsidP="003B7D18">
            <w:r w:rsidRPr="003B7D18">
              <w:rPr>
                <w:position w:val="-30"/>
              </w:rPr>
              <w:object w:dxaOrig="2020" w:dyaOrig="720">
                <v:shape id="_x0000_i1027" type="#_x0000_t75" style="width:100.55pt;height:36pt" o:ole="">
                  <v:imagedata r:id="rId9" o:title=""/>
                </v:shape>
                <o:OLEObject Type="Embed" ProgID="Equation.DSMT4" ShapeID="_x0000_i1027" DrawAspect="Content" ObjectID="_1519662451" r:id="rId10"/>
              </w:object>
            </w:r>
          </w:p>
          <w:p w:rsidR="00C50CAC" w:rsidRDefault="000064C5" w:rsidP="00C50CAC">
            <w:pPr>
              <w:spacing w:after="200"/>
            </w:pPr>
            <w:r w:rsidRPr="003B7D18">
              <w:rPr>
                <w:position w:val="-30"/>
              </w:rPr>
              <w:object w:dxaOrig="1359" w:dyaOrig="720">
                <v:shape id="_x0000_i1028" type="#_x0000_t75" style="width:67.9pt;height:36pt" o:ole="">
                  <v:imagedata r:id="rId11" o:title=""/>
                </v:shape>
                <o:OLEObject Type="Embed" ProgID="Equation.DSMT4" ShapeID="_x0000_i1028" DrawAspect="Content" ObjectID="_1519662452" r:id="rId12"/>
              </w:object>
            </w:r>
          </w:p>
        </w:tc>
      </w:tr>
    </w:tbl>
    <w:p w:rsidR="003B7D18" w:rsidRDefault="003B7D18" w:rsidP="00D91333"/>
    <w:p w:rsidR="00D91333" w:rsidRDefault="00D91333" w:rsidP="00D91333">
      <w:pPr>
        <w:rPr>
          <w:sz w:val="32"/>
        </w:rPr>
      </w:pPr>
      <w:r>
        <w:rPr>
          <w:sz w:val="32"/>
        </w:rPr>
        <w:t>TEMA 2</w:t>
      </w:r>
      <w:r w:rsidRPr="00D91333">
        <w:rPr>
          <w:sz w:val="32"/>
        </w:rPr>
        <w:t xml:space="preserve">: </w:t>
      </w:r>
      <w:r>
        <w:rPr>
          <w:sz w:val="32"/>
        </w:rPr>
        <w:t>ENFOQUE MONETARIO A LARGO PLAZO</w:t>
      </w:r>
    </w:p>
    <w:p w:rsidR="00D91333" w:rsidRDefault="00F80FFD" w:rsidP="002115C5">
      <w:pPr>
        <w:spacing w:after="0"/>
      </w:pPr>
      <w:r>
        <w:t>PARIDAD DEL PODER ADQUISITIVO</w:t>
      </w:r>
    </w:p>
    <w:p w:rsidR="001C2A90" w:rsidRDefault="00AF6BB2" w:rsidP="001C2A90">
      <w:pPr>
        <w:spacing w:after="0"/>
      </w:pPr>
      <w:r>
        <w:t>Precio relativo de las cestas (tipo de cambio real)</w:t>
      </w:r>
      <w:r w:rsidR="001C2A90">
        <w:t>:</w:t>
      </w:r>
    </w:p>
    <w:p w:rsidR="001C2A90" w:rsidRDefault="00F83372" w:rsidP="00B6170A">
      <w:pPr>
        <w:spacing w:after="120"/>
      </w:pPr>
      <w:r w:rsidRPr="00F83372">
        <w:rPr>
          <w:position w:val="-60"/>
        </w:rPr>
        <w:object w:dxaOrig="3879" w:dyaOrig="880">
          <v:shape id="_x0000_i1029" type="#_x0000_t75" style="width:194.25pt;height:44.15pt" o:ole="">
            <v:imagedata r:id="rId13" o:title=""/>
          </v:shape>
          <o:OLEObject Type="Embed" ProgID="Equation.DSMT4" ShapeID="_x0000_i1029" DrawAspect="Content" ObjectID="_1519662453" r:id="rId14"/>
        </w:object>
      </w:r>
    </w:p>
    <w:p w:rsidR="003B7D18" w:rsidRDefault="001C2A90" w:rsidP="001C2A90">
      <w:pPr>
        <w:spacing w:after="0"/>
      </w:pPr>
      <w:r>
        <w:t>En equilibrio, los precios expresados en la misma moneda son iguales (</w:t>
      </w:r>
      <w:r w:rsidR="00F83372" w:rsidRPr="001C2A90">
        <w:rPr>
          <w:position w:val="-12"/>
        </w:rPr>
        <w:object w:dxaOrig="1040" w:dyaOrig="360">
          <v:shape id="_x0000_i1030" type="#_x0000_t75" style="width:51.6pt;height:18.35pt" o:ole="">
            <v:imagedata r:id="rId15" o:title=""/>
          </v:shape>
          <o:OLEObject Type="Embed" ProgID="Equation.DSMT4" ShapeID="_x0000_i1030" DrawAspect="Content" ObjectID="_1519662454" r:id="rId16"/>
        </w:object>
      </w:r>
      <w:r>
        <w:t>):</w:t>
      </w:r>
    </w:p>
    <w:p w:rsidR="001C2A90" w:rsidRDefault="00F83372" w:rsidP="006A7614">
      <w:pPr>
        <w:spacing w:after="0"/>
      </w:pPr>
      <w:r w:rsidRPr="001C2A90">
        <w:rPr>
          <w:position w:val="-12"/>
        </w:rPr>
        <w:object w:dxaOrig="3580" w:dyaOrig="360">
          <v:shape id="_x0000_i1031" type="#_x0000_t75" style="width:179.3pt;height:18.35pt" o:ole="">
            <v:imagedata r:id="rId17" o:title=""/>
          </v:shape>
          <o:OLEObject Type="Embed" ProgID="Equation.DSMT4" ShapeID="_x0000_i1031" DrawAspect="Content" ObjectID="_1519662455" r:id="rId18"/>
        </w:object>
      </w:r>
    </w:p>
    <w:p w:rsidR="00571231" w:rsidRDefault="00571231" w:rsidP="00571231">
      <w:pPr>
        <w:spacing w:after="0"/>
      </w:pPr>
    </w:p>
    <w:p w:rsidR="001C2A90" w:rsidRDefault="00571231" w:rsidP="002115C5">
      <w:pPr>
        <w:spacing w:after="0"/>
      </w:pPr>
      <w:r>
        <w:t>PPA RELATIVA, INFLACIÓN Y DEPRECIACIÓN DEL CAMBIO</w:t>
      </w:r>
    </w:p>
    <w:p w:rsidR="007F364F" w:rsidRDefault="00043127" w:rsidP="006A7614">
      <w:pPr>
        <w:spacing w:after="0"/>
      </w:pPr>
      <w:r w:rsidRPr="00571231">
        <w:rPr>
          <w:position w:val="-76"/>
        </w:rPr>
        <w:object w:dxaOrig="4959" w:dyaOrig="1160">
          <v:shape id="_x0000_i1036" type="#_x0000_t75" style="width:247.9pt;height:58.4pt" o:ole="">
            <v:imagedata r:id="rId19" o:title=""/>
          </v:shape>
          <o:OLEObject Type="Embed" ProgID="Equation.DSMT4" ShapeID="_x0000_i1036" DrawAspect="Content" ObjectID="_1519662456" r:id="rId20"/>
        </w:object>
      </w:r>
    </w:p>
    <w:p w:rsidR="00571231" w:rsidRDefault="00571231" w:rsidP="00571231">
      <w:pPr>
        <w:spacing w:after="0"/>
      </w:pPr>
    </w:p>
    <w:p w:rsidR="00571231" w:rsidRDefault="006328DB" w:rsidP="002115C5">
      <w:pPr>
        <w:spacing w:after="0"/>
      </w:pPr>
      <w:bookmarkStart w:id="0" w:name="_GoBack"/>
      <w:bookmarkEnd w:id="0"/>
      <w:r>
        <w:t>UN MODELO MONETARIO SIMPLE (A LARGO PLAZO)</w:t>
      </w:r>
    </w:p>
    <w:p w:rsidR="00571231" w:rsidRDefault="002115C5" w:rsidP="00571231">
      <w:pPr>
        <w:tabs>
          <w:tab w:val="left" w:pos="4253"/>
        </w:tabs>
        <w:spacing w:after="0"/>
      </w:pPr>
      <w:r w:rsidRPr="002115C5">
        <w:rPr>
          <w:position w:val="-12"/>
        </w:rPr>
        <w:object w:dxaOrig="1520" w:dyaOrig="360">
          <v:shape id="_x0000_i1032" type="#_x0000_t75" style="width:76.1pt;height:18.35pt" o:ole="">
            <v:imagedata r:id="rId21" o:title=""/>
          </v:shape>
          <o:OLEObject Type="Embed" ProgID="Equation.DSMT4" ShapeID="_x0000_i1032" DrawAspect="Content" ObjectID="_1519662457" r:id="rId22"/>
        </w:object>
      </w:r>
      <w:r w:rsidR="0077762E">
        <w:tab/>
      </w:r>
      <w:r w:rsidR="0077762E" w:rsidRPr="002115C5">
        <w:rPr>
          <w:position w:val="-12"/>
        </w:rPr>
        <w:object w:dxaOrig="1840" w:dyaOrig="360">
          <v:shape id="_x0000_i1033" type="#_x0000_t75" style="width:92.4pt;height:18.35pt" o:ole="">
            <v:imagedata r:id="rId23" o:title=""/>
          </v:shape>
          <o:OLEObject Type="Embed" ProgID="Equation.DSMT4" ShapeID="_x0000_i1033" DrawAspect="Content" ObjectID="_1519662458" r:id="rId24"/>
        </w:object>
      </w:r>
      <w:r w:rsidR="00571231">
        <w:tab/>
      </w:r>
    </w:p>
    <w:p w:rsidR="00571231" w:rsidRDefault="00571231" w:rsidP="00B6170A">
      <w:pPr>
        <w:spacing w:after="120"/>
      </w:pPr>
      <w:proofErr w:type="gramStart"/>
      <w:r w:rsidRPr="00571231">
        <w:rPr>
          <w:i/>
        </w:rPr>
        <w:t>π</w:t>
      </w:r>
      <w:proofErr w:type="gramEnd"/>
      <w:r>
        <w:t>: inflación</w:t>
      </w:r>
      <w:r w:rsidR="00762589">
        <w:t xml:space="preserve">   </w:t>
      </w:r>
      <w:r w:rsidRPr="00571231">
        <w:rPr>
          <w:i/>
        </w:rPr>
        <w:t>μ</w:t>
      </w:r>
      <w:r>
        <w:t>: crecimiento de la oferta monetaria</w:t>
      </w:r>
      <w:r w:rsidR="00762589">
        <w:t xml:space="preserve">   </w:t>
      </w:r>
      <w:r w:rsidR="00762589" w:rsidRPr="0077762E">
        <w:rPr>
          <w:i/>
        </w:rPr>
        <w:t>g</w:t>
      </w:r>
      <w:r w:rsidR="00762589">
        <w:t>: crecimiento de la renta real</w:t>
      </w:r>
    </w:p>
    <w:p w:rsidR="00571231" w:rsidRDefault="006328DB" w:rsidP="006A7614">
      <w:pPr>
        <w:spacing w:after="0"/>
      </w:pPr>
      <w:r w:rsidRPr="00571231">
        <w:rPr>
          <w:position w:val="-32"/>
        </w:rPr>
        <w:object w:dxaOrig="4720" w:dyaOrig="720">
          <v:shape id="_x0000_i1034" type="#_x0000_t75" style="width:235.7pt;height:36pt" o:ole="">
            <v:imagedata r:id="rId25" o:title=""/>
          </v:shape>
          <o:OLEObject Type="Embed" ProgID="Equation.DSMT4" ShapeID="_x0000_i1034" DrawAspect="Content" ObjectID="_1519662459" r:id="rId26"/>
        </w:object>
      </w:r>
    </w:p>
    <w:p w:rsidR="002115C5" w:rsidRDefault="002115C5" w:rsidP="002115C5">
      <w:pPr>
        <w:spacing w:after="0"/>
      </w:pPr>
    </w:p>
    <w:p w:rsidR="006328DB" w:rsidRDefault="002115C5" w:rsidP="002115C5">
      <w:pPr>
        <w:spacing w:after="0"/>
      </w:pPr>
      <w:r>
        <w:t>PARIDAD REAL DE INTERESES (EFECTO FISHER)</w:t>
      </w:r>
    </w:p>
    <w:p w:rsidR="000064C5" w:rsidRDefault="002115C5" w:rsidP="00C840D3">
      <w:r w:rsidRPr="002115C5">
        <w:rPr>
          <w:position w:val="-12"/>
        </w:rPr>
        <w:object w:dxaOrig="3360" w:dyaOrig="380">
          <v:shape id="_x0000_i1035" type="#_x0000_t75" style="width:167.75pt;height:19pt" o:ole="">
            <v:imagedata r:id="rId27" o:title=""/>
          </v:shape>
          <o:OLEObject Type="Embed" ProgID="Equation.DSMT4" ShapeID="_x0000_i1035" DrawAspect="Content" ObjectID="_1519662460" r:id="rId28"/>
        </w:object>
      </w:r>
    </w:p>
    <w:p w:rsidR="00FE6B11" w:rsidRPr="00D91333" w:rsidRDefault="00FE6B11" w:rsidP="00D91333"/>
    <w:sectPr w:rsidR="00FE6B11" w:rsidRPr="00D913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formsDesign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609"/>
    <w:rsid w:val="000064C5"/>
    <w:rsid w:val="00043127"/>
    <w:rsid w:val="00112609"/>
    <w:rsid w:val="001C2A90"/>
    <w:rsid w:val="002115C5"/>
    <w:rsid w:val="00274D89"/>
    <w:rsid w:val="003B7D18"/>
    <w:rsid w:val="005122DA"/>
    <w:rsid w:val="00571231"/>
    <w:rsid w:val="006328DB"/>
    <w:rsid w:val="006A7614"/>
    <w:rsid w:val="00731DA4"/>
    <w:rsid w:val="0074738C"/>
    <w:rsid w:val="00762589"/>
    <w:rsid w:val="0077762E"/>
    <w:rsid w:val="0079574A"/>
    <w:rsid w:val="007F364F"/>
    <w:rsid w:val="00871146"/>
    <w:rsid w:val="00931FAE"/>
    <w:rsid w:val="00956402"/>
    <w:rsid w:val="009C30F8"/>
    <w:rsid w:val="00A1639B"/>
    <w:rsid w:val="00A37B1F"/>
    <w:rsid w:val="00AB77FA"/>
    <w:rsid w:val="00AF6BB2"/>
    <w:rsid w:val="00B079E6"/>
    <w:rsid w:val="00B6170A"/>
    <w:rsid w:val="00BC4CFA"/>
    <w:rsid w:val="00C50CAC"/>
    <w:rsid w:val="00C840D3"/>
    <w:rsid w:val="00CF6EA9"/>
    <w:rsid w:val="00D91333"/>
    <w:rsid w:val="00EA70B9"/>
    <w:rsid w:val="00EE40A3"/>
    <w:rsid w:val="00EE779F"/>
    <w:rsid w:val="00F25723"/>
    <w:rsid w:val="00F80FFD"/>
    <w:rsid w:val="00F83372"/>
    <w:rsid w:val="00FE4C0B"/>
    <w:rsid w:val="00FE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333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B7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C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2A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333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B7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C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2A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Jaime</cp:lastModifiedBy>
  <cp:revision>56</cp:revision>
  <dcterms:created xsi:type="dcterms:W3CDTF">2016-03-13T15:48:00Z</dcterms:created>
  <dcterms:modified xsi:type="dcterms:W3CDTF">2016-03-16T19:41:00Z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