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796" w:rsidRPr="00DD0B0C" w:rsidRDefault="00B723EA" w:rsidP="006D4703">
      <w:pPr>
        <w:rPr>
          <w:rFonts w:cs="Times New Roman"/>
          <w:b/>
          <w:sz w:val="24"/>
          <w:szCs w:val="24"/>
        </w:rPr>
      </w:pPr>
      <w:r>
        <w:rPr>
          <w:rFonts w:cs="Times New Roman"/>
          <w:b/>
          <w:sz w:val="24"/>
          <w:szCs w:val="24"/>
        </w:rPr>
        <w:t>E</w:t>
      </w:r>
      <w:bookmarkStart w:id="0" w:name="_GoBack"/>
      <w:bookmarkEnd w:id="0"/>
      <w:r w:rsidR="00330796" w:rsidRPr="00DD0B0C">
        <w:rPr>
          <w:rFonts w:cs="Times New Roman"/>
          <w:b/>
          <w:sz w:val="24"/>
          <w:szCs w:val="24"/>
        </w:rPr>
        <w:t>JERCICIOS DE AUTOEVALUACIÓN DE LA ASIGN</w:t>
      </w:r>
      <w:r w:rsidR="009D24C9" w:rsidRPr="00DD0B0C">
        <w:rPr>
          <w:rFonts w:cs="Times New Roman"/>
          <w:b/>
          <w:sz w:val="24"/>
          <w:szCs w:val="24"/>
        </w:rPr>
        <w:t>ATURA DE HISTORIA ECONÓMICA 2014-2015</w:t>
      </w:r>
      <w:r w:rsidR="00330796" w:rsidRPr="00DD0B0C">
        <w:rPr>
          <w:rFonts w:cs="Times New Roman"/>
          <w:b/>
          <w:sz w:val="24"/>
          <w:szCs w:val="24"/>
        </w:rPr>
        <w:t>-4</w:t>
      </w:r>
    </w:p>
    <w:p w:rsidR="00330796" w:rsidRPr="00DD0B0C" w:rsidRDefault="00330796" w:rsidP="006D4703">
      <w:pPr>
        <w:rPr>
          <w:rFonts w:cs="Times New Roman"/>
          <w:b/>
          <w:sz w:val="24"/>
          <w:szCs w:val="24"/>
        </w:rPr>
      </w:pPr>
      <w:r w:rsidRPr="00DD0B0C">
        <w:rPr>
          <w:rFonts w:cs="Times New Roman"/>
          <w:b/>
          <w:sz w:val="24"/>
          <w:szCs w:val="24"/>
        </w:rPr>
        <w:t>CUARTA  PARTE</w:t>
      </w:r>
    </w:p>
    <w:p w:rsidR="00330796" w:rsidRDefault="00330796" w:rsidP="006D4703">
      <w:pPr>
        <w:autoSpaceDE w:val="0"/>
        <w:autoSpaceDN w:val="0"/>
        <w:adjustRightInd w:val="0"/>
        <w:spacing w:after="0" w:line="240" w:lineRule="auto"/>
        <w:rPr>
          <w:rFonts w:cstheme="minorHAnsi"/>
          <w:b/>
          <w:sz w:val="24"/>
          <w:szCs w:val="24"/>
        </w:rPr>
      </w:pPr>
      <w:r w:rsidRPr="00DD0B0C">
        <w:rPr>
          <w:rFonts w:cs="Times New Roman"/>
          <w:b/>
          <w:sz w:val="24"/>
          <w:szCs w:val="24"/>
        </w:rPr>
        <w:t xml:space="preserve">Pueden contestarse con la lectura de los capítulos 9, 10, del libro Juan HERNÁNDEZ ANDREU. </w:t>
      </w:r>
      <w:r w:rsidRPr="00DD0B0C">
        <w:rPr>
          <w:rFonts w:cstheme="minorHAnsi"/>
          <w:b/>
          <w:sz w:val="24"/>
          <w:szCs w:val="24"/>
        </w:rPr>
        <w:t xml:space="preserve">Este curso incorporamos, además, los capítulos 10 (El crecimiento económico de la postguerra), 11  (Descolonización y subdesarrollo: 1945 hasta el presente) 12 (Globalización y desigualdad en el largo plazo) y 13 (Transición y control demográfico en el Tercer Mundo) del libro de Enriqueta Camps. </w:t>
      </w:r>
    </w:p>
    <w:p w:rsidR="00DD0B0C" w:rsidRPr="00DD0B0C" w:rsidRDefault="00DD0B0C" w:rsidP="006D4703">
      <w:pPr>
        <w:autoSpaceDE w:val="0"/>
        <w:autoSpaceDN w:val="0"/>
        <w:adjustRightInd w:val="0"/>
        <w:spacing w:after="0" w:line="240" w:lineRule="auto"/>
        <w:rPr>
          <w:rFonts w:cstheme="minorHAnsi"/>
          <w:sz w:val="24"/>
          <w:szCs w:val="24"/>
        </w:rPr>
      </w:pPr>
    </w:p>
    <w:p w:rsidR="00330796" w:rsidRPr="00DD0B0C" w:rsidRDefault="00330796" w:rsidP="006D4703">
      <w:pPr>
        <w:autoSpaceDE w:val="0"/>
        <w:autoSpaceDN w:val="0"/>
        <w:adjustRightInd w:val="0"/>
        <w:spacing w:after="0" w:line="240" w:lineRule="auto"/>
        <w:rPr>
          <w:rFonts w:cs="Arial"/>
          <w:b/>
          <w:sz w:val="24"/>
          <w:szCs w:val="24"/>
        </w:rPr>
      </w:pPr>
    </w:p>
    <w:p w:rsidR="006D4679" w:rsidRPr="00DD0B0C" w:rsidRDefault="006D4679" w:rsidP="006D4703">
      <w:pPr>
        <w:rPr>
          <w:rFonts w:cs="Times New Roman"/>
          <w:b/>
          <w:sz w:val="24"/>
          <w:szCs w:val="24"/>
        </w:rPr>
      </w:pPr>
      <w:r w:rsidRPr="00DD0B0C">
        <w:rPr>
          <w:rFonts w:cs="Times New Roman"/>
          <w:b/>
          <w:sz w:val="24"/>
          <w:szCs w:val="24"/>
        </w:rPr>
        <w:t>1. Señala los rasgos básicos del nuevo orden internacional tras la Segunda Guerra Mundial (Hernández Andreu, pp. 230-231): División territorial entre EEUU y la URSS; Reparaciones de Guerra; descolonización.</w:t>
      </w:r>
    </w:p>
    <w:p w:rsidR="001E3D16" w:rsidRPr="00DD0B0C" w:rsidRDefault="001E3D16" w:rsidP="006D4703">
      <w:pPr>
        <w:rPr>
          <w:rFonts w:cs="Times New Roman"/>
          <w:sz w:val="24"/>
          <w:szCs w:val="24"/>
        </w:rPr>
      </w:pPr>
      <w:r w:rsidRPr="00DD0B0C">
        <w:rPr>
          <w:rFonts w:cs="Times New Roman"/>
          <w:sz w:val="24"/>
          <w:szCs w:val="24"/>
        </w:rPr>
        <w:t xml:space="preserve">Durante la guerra, en 1943, los Aliados crearon la UNRRA, Administración de Ayuda y Reconstrucción de las Naciones Unidas que, entre otras cosas, procuraba socorro a los refugiados; y EE.UU., El Reino Unido y Rusia decidieron que una comisión consultiva europea determinara la política en relación con la ocupación militar de Alemania. Pero las diferencias entre los países capitalistas y Rusia, desde 1917 bajo una dictadura comunista, llevaron a que las dos partes quisieran fortalecer posiciones con tratados, como la Conferencia de Yalta y </w:t>
      </w:r>
      <w:proofErr w:type="spellStart"/>
      <w:r w:rsidRPr="00DD0B0C">
        <w:rPr>
          <w:rFonts w:cs="Times New Roman"/>
          <w:sz w:val="24"/>
          <w:szCs w:val="24"/>
        </w:rPr>
        <w:t>Postdam</w:t>
      </w:r>
      <w:proofErr w:type="spellEnd"/>
      <w:r w:rsidRPr="00DD0B0C">
        <w:rPr>
          <w:rFonts w:cs="Times New Roman"/>
          <w:sz w:val="24"/>
          <w:szCs w:val="24"/>
        </w:rPr>
        <w:t xml:space="preserve"> de 1945, que afectaron especialmente a cambios territoriales. La pugna por las reparaciones se resolvió en la conferencia de París de 1946.</w:t>
      </w:r>
    </w:p>
    <w:p w:rsidR="001E3D16" w:rsidRPr="00DD0B0C" w:rsidRDefault="001E3D16" w:rsidP="006D4703">
      <w:pPr>
        <w:rPr>
          <w:rFonts w:cs="Times New Roman"/>
          <w:sz w:val="24"/>
          <w:szCs w:val="24"/>
        </w:rPr>
      </w:pPr>
      <w:r w:rsidRPr="00DD0B0C">
        <w:rPr>
          <w:rFonts w:cs="Times New Roman"/>
          <w:sz w:val="24"/>
          <w:szCs w:val="24"/>
        </w:rPr>
        <w:t xml:space="preserve">En Yalta y </w:t>
      </w:r>
      <w:proofErr w:type="spellStart"/>
      <w:r w:rsidRPr="00DD0B0C">
        <w:rPr>
          <w:rFonts w:cs="Times New Roman"/>
          <w:sz w:val="24"/>
          <w:szCs w:val="24"/>
        </w:rPr>
        <w:t>Postdam</w:t>
      </w:r>
      <w:proofErr w:type="spellEnd"/>
      <w:r w:rsidRPr="00DD0B0C">
        <w:rPr>
          <w:rFonts w:cs="Times New Roman"/>
          <w:sz w:val="24"/>
          <w:szCs w:val="24"/>
        </w:rPr>
        <w:t xml:space="preserve"> se acordó que Alemania anulara su potencial bélico y su división en zona Este y Oeste. La República Federal Alemana, inicialmente ocupada por Estados Unidos, Inglaterra y Francia, en 1949 se convertiría en un país independiente, basado en el </w:t>
      </w:r>
      <w:proofErr w:type="spellStart"/>
      <w:r w:rsidRPr="00DD0B0C">
        <w:rPr>
          <w:rFonts w:cs="Times New Roman"/>
          <w:sz w:val="24"/>
          <w:szCs w:val="24"/>
        </w:rPr>
        <w:t>Deutschemark</w:t>
      </w:r>
      <w:proofErr w:type="spellEnd"/>
      <w:r w:rsidRPr="00DD0B0C">
        <w:rPr>
          <w:rFonts w:cs="Times New Roman"/>
          <w:sz w:val="24"/>
          <w:szCs w:val="24"/>
        </w:rPr>
        <w:t xml:space="preserve"> que sustituía al nazi </w:t>
      </w:r>
      <w:proofErr w:type="spellStart"/>
      <w:r w:rsidRPr="00DD0B0C">
        <w:rPr>
          <w:rFonts w:cs="Times New Roman"/>
          <w:sz w:val="24"/>
          <w:szCs w:val="24"/>
        </w:rPr>
        <w:t>Reichsmark</w:t>
      </w:r>
      <w:proofErr w:type="spellEnd"/>
      <w:r w:rsidRPr="00DD0B0C">
        <w:rPr>
          <w:rFonts w:cs="Times New Roman"/>
          <w:sz w:val="24"/>
          <w:szCs w:val="24"/>
        </w:rPr>
        <w:t>; y la República Democrática Alemana sería ocupada por Rusia. El muro de Berlín, edificado en 1961, se convertiría luego en un “telón de acero” entre las zonas. Además, Rusia comenzó a incrementar su población y territorio; la Unión de Repúblicas Socialistas Soviéticas hizo dependientes a países de satélites como Polonia, Checoslovaquia, Hungría, Rumania, Bulgaria o Yugoslavia.</w:t>
      </w:r>
    </w:p>
    <w:p w:rsidR="001E3D16" w:rsidRPr="00DD0B0C" w:rsidRDefault="001E3D16" w:rsidP="006D4703">
      <w:pPr>
        <w:rPr>
          <w:rFonts w:cs="Times New Roman"/>
          <w:sz w:val="24"/>
          <w:szCs w:val="24"/>
        </w:rPr>
      </w:pPr>
      <w:r w:rsidRPr="00DD0B0C">
        <w:rPr>
          <w:rFonts w:cs="Times New Roman"/>
          <w:sz w:val="24"/>
          <w:szCs w:val="24"/>
        </w:rPr>
        <w:t>En lo que respecta a las reparaciones de guerra, tras la experiencia de la Primera Guerra Mundial, EE.UU. defendía que era una locura exigir a los vencidos pagos con su producción ordinaria, que en una economía capitalista incluso harían la competencia a las mercancías de los países en reconstrucción. Rusia insistió en pedir reparaciones, dado que esos pagos no perjudicarían a una economía comunista.</w:t>
      </w:r>
    </w:p>
    <w:p w:rsidR="001E3D16" w:rsidRPr="00DD0B0C" w:rsidRDefault="001E3D16" w:rsidP="006D4703">
      <w:pPr>
        <w:rPr>
          <w:rFonts w:cs="Times New Roman"/>
          <w:b/>
          <w:sz w:val="24"/>
          <w:szCs w:val="24"/>
        </w:rPr>
      </w:pPr>
    </w:p>
    <w:p w:rsidR="006D4679" w:rsidRPr="00DD0B0C" w:rsidRDefault="006D4679" w:rsidP="006D4703">
      <w:pPr>
        <w:rPr>
          <w:rFonts w:cs="Times New Roman"/>
          <w:b/>
          <w:sz w:val="24"/>
          <w:szCs w:val="24"/>
        </w:rPr>
      </w:pPr>
      <w:r w:rsidRPr="00DD0B0C">
        <w:rPr>
          <w:rFonts w:cs="Times New Roman"/>
          <w:b/>
          <w:sz w:val="24"/>
          <w:szCs w:val="24"/>
        </w:rPr>
        <w:lastRenderedPageBreak/>
        <w:t>2. Explica el significado de los acuerdos de Bretton Woods (Hernández Andreu, pp. 232-235</w:t>
      </w:r>
      <w:r w:rsidR="00AE3D82" w:rsidRPr="00DD0B0C">
        <w:rPr>
          <w:rFonts w:cs="Times New Roman"/>
          <w:b/>
          <w:sz w:val="24"/>
          <w:szCs w:val="24"/>
        </w:rPr>
        <w:t xml:space="preserve"> y Camps 108-111</w:t>
      </w:r>
      <w:r w:rsidRPr="00DD0B0C">
        <w:rPr>
          <w:rFonts w:cs="Times New Roman"/>
          <w:b/>
          <w:sz w:val="24"/>
          <w:szCs w:val="24"/>
        </w:rPr>
        <w:t>).</w:t>
      </w:r>
    </w:p>
    <w:p w:rsidR="001E3D16" w:rsidRPr="00DD0B0C" w:rsidRDefault="001E3D16" w:rsidP="006D4703">
      <w:pPr>
        <w:rPr>
          <w:rFonts w:cs="Times New Roman"/>
          <w:sz w:val="24"/>
          <w:szCs w:val="24"/>
        </w:rPr>
      </w:pPr>
      <w:r w:rsidRPr="00DD0B0C">
        <w:rPr>
          <w:rFonts w:cs="Times New Roman"/>
          <w:sz w:val="24"/>
          <w:szCs w:val="24"/>
        </w:rPr>
        <w:t>Los acuerdos de Bretton Woods son las resoluciones de la conferencia monetaria y Financiera de las Naciones Unidas, realizada en el complejo hotelero de Bretton Woods, (Nueva Hampshire, Estados Unidos), entre el 1 y el 22 de julio de 1944, donde se establecieron las reglas para las relaciones comerciales y financieras entre los países más industrializados del mundo. En él se decidió la creación del Banco Mundial y del Fondo Monetario Internacional y el uso del dólar como moneda internacional. Estas organizaciones se volvieron operativas en 1946. Bretton Woods trató de poner fin al proteccionismo del período 1914-1945, que se inicia en 1914 con la Primera Guerra Mundial. Se consideraba que para llegar a la paz tenía que existir una política librecambista, donde se establecerían las relaciones con el exterior.</w:t>
      </w:r>
    </w:p>
    <w:p w:rsidR="001E3D16" w:rsidRPr="00DD0B0C" w:rsidRDefault="001E3D16" w:rsidP="006D4703">
      <w:pPr>
        <w:rPr>
          <w:rFonts w:cs="Times New Roman"/>
          <w:b/>
          <w:sz w:val="24"/>
          <w:szCs w:val="24"/>
        </w:rPr>
      </w:pPr>
    </w:p>
    <w:p w:rsidR="006D4679" w:rsidRPr="00DD0B0C" w:rsidRDefault="006D4679" w:rsidP="006D4703">
      <w:pPr>
        <w:rPr>
          <w:rFonts w:cs="Times New Roman"/>
          <w:b/>
          <w:sz w:val="24"/>
          <w:szCs w:val="24"/>
        </w:rPr>
      </w:pPr>
      <w:r w:rsidRPr="00DD0B0C">
        <w:rPr>
          <w:rFonts w:cs="Times New Roman"/>
          <w:b/>
          <w:sz w:val="24"/>
          <w:szCs w:val="24"/>
        </w:rPr>
        <w:t>3. Lee atentamente el cuadro 9 y señala las diferencias más importantes entre la propuesta de Keynes y White (Hernández Andreu, pp. 234)</w:t>
      </w:r>
    </w:p>
    <w:p w:rsidR="001E3D16" w:rsidRPr="00DD0B0C" w:rsidRDefault="001E3D16" w:rsidP="006D4703">
      <w:pPr>
        <w:rPr>
          <w:rFonts w:cs="Times New Roman"/>
          <w:sz w:val="24"/>
          <w:szCs w:val="24"/>
        </w:rPr>
      </w:pPr>
      <w:r w:rsidRPr="00DD0B0C">
        <w:rPr>
          <w:rFonts w:cs="Times New Roman"/>
          <w:sz w:val="24"/>
          <w:szCs w:val="24"/>
        </w:rPr>
        <w:t xml:space="preserve">El plan de Keynes reflejó la situación de las finanzas británicas y sus intereses estratégicos y, dado que las arcas inglesas estaban exhaustas, trató de aprovechar las capacidades productivas y la tradición comercial inglesa. La base de su propuesta fue la creación de un banco mundial que concedería créditos por montos de hasta del 75 por ciento del valor de las exportaciones entre 1936 y 1939, expresadas en un instrumento de pago llamado “Bancor” respaldado por reservas en oro. La trampa consistía en que al prorratearse los niveles de exportación entre 1936 y 1939, Inglaterra quedaría por encima de Estados Unidos y, en un escenario de rápida recuperación podía colocarse al nivel norteamericano. </w:t>
      </w:r>
    </w:p>
    <w:p w:rsidR="001E3D16" w:rsidRPr="00DD0B0C" w:rsidRDefault="001E3D16" w:rsidP="006D4703">
      <w:pPr>
        <w:rPr>
          <w:rFonts w:cs="Times New Roman"/>
          <w:sz w:val="24"/>
          <w:szCs w:val="24"/>
        </w:rPr>
      </w:pPr>
      <w:r w:rsidRPr="00DD0B0C">
        <w:rPr>
          <w:rFonts w:cs="Times New Roman"/>
          <w:sz w:val="24"/>
          <w:szCs w:val="24"/>
        </w:rPr>
        <w:t>El Plan White consistió en la creación de un Fondo Internacional de Estabilización (FMI) y de un Banco para la Reconstrucción que luego se conocería como Banco Mundial. Para formar el capital del fondo y del banco, los estados miembros deberían hacer depósitos en oro y otras divisas sobre la base de cuotas asignadas, de acuerdo con las cuales se concederían los préstamos.</w:t>
      </w:r>
    </w:p>
    <w:p w:rsidR="001E3D16" w:rsidRPr="00DD0B0C" w:rsidRDefault="001E3D16" w:rsidP="006D4703">
      <w:pPr>
        <w:rPr>
          <w:rFonts w:cs="Times New Roman"/>
          <w:b/>
          <w:sz w:val="24"/>
          <w:szCs w:val="24"/>
        </w:rPr>
      </w:pPr>
    </w:p>
    <w:p w:rsidR="006D4679" w:rsidRPr="00DD0B0C" w:rsidRDefault="006D4679" w:rsidP="006D4703">
      <w:pPr>
        <w:rPr>
          <w:rFonts w:cs="Times New Roman"/>
          <w:b/>
          <w:sz w:val="24"/>
          <w:szCs w:val="24"/>
        </w:rPr>
      </w:pPr>
      <w:r w:rsidRPr="00DD0B0C">
        <w:rPr>
          <w:rFonts w:cs="Times New Roman"/>
          <w:b/>
          <w:sz w:val="24"/>
          <w:szCs w:val="24"/>
        </w:rPr>
        <w:t>4. Justifica la importancia del Plan Marshall (Hernández Andreu, pp. 235-240). ¿Por qué no participó España?</w:t>
      </w:r>
    </w:p>
    <w:p w:rsidR="001E3D16" w:rsidRPr="00DD0B0C" w:rsidRDefault="001E3D16" w:rsidP="006D4703">
      <w:pPr>
        <w:rPr>
          <w:rFonts w:cs="Times New Roman"/>
          <w:sz w:val="24"/>
          <w:szCs w:val="24"/>
        </w:rPr>
      </w:pPr>
      <w:r w:rsidRPr="00DD0B0C">
        <w:rPr>
          <w:rFonts w:cs="Times New Roman"/>
          <w:sz w:val="24"/>
          <w:szCs w:val="24"/>
        </w:rPr>
        <w:t xml:space="preserve">El Plan fue el plan más importante de Estados Unidos para la reconstrucción de los países europeos después de la Segunda Guerra Mundial, que a la vez estaba destinado a contener un posible avance del comunismo. El Plan Marshall se repartió entre los países participantes básicamente según la renta per cápita. Gran parte del dinero se </w:t>
      </w:r>
      <w:r w:rsidRPr="00DD0B0C">
        <w:rPr>
          <w:rFonts w:cs="Times New Roman"/>
          <w:sz w:val="24"/>
          <w:szCs w:val="24"/>
        </w:rPr>
        <w:lastRenderedPageBreak/>
        <w:t>destinó a los grandes grupos industriales, puesto que se pensaba que su regeneración era esencial para la reconstrucción europea. Además, el reparto según la renta per cápita era una manera indirecta de ayudar a los Aliados, dejando menos para los países del Eje o los neutrales.</w:t>
      </w:r>
    </w:p>
    <w:p w:rsidR="001E3D16" w:rsidRPr="00DD0B0C" w:rsidRDefault="001E3D16" w:rsidP="006D4703">
      <w:pPr>
        <w:rPr>
          <w:rFonts w:cs="Times New Roman"/>
          <w:sz w:val="24"/>
          <w:szCs w:val="24"/>
        </w:rPr>
      </w:pPr>
      <w:r w:rsidRPr="00DD0B0C">
        <w:rPr>
          <w:rFonts w:cs="Times New Roman"/>
          <w:sz w:val="24"/>
          <w:szCs w:val="24"/>
        </w:rPr>
        <w:t>Muchas partes del mundo que también fueron devastadas por la Segunda Guerra Mundial no se beneficiaron de Plan Marshall. El único gran país de Europa occidental que quedó excluido de las ayudas fue España debido a que tras la Guerra Civil Española, España se cerró en una política de autarquía y proteccionismo bajo el régimen franquista.</w:t>
      </w:r>
    </w:p>
    <w:p w:rsidR="001E3D16" w:rsidRPr="00DD0B0C" w:rsidRDefault="001E3D16" w:rsidP="006D4703">
      <w:pPr>
        <w:rPr>
          <w:rFonts w:cs="Times New Roman"/>
          <w:b/>
          <w:sz w:val="24"/>
          <w:szCs w:val="24"/>
        </w:rPr>
      </w:pPr>
    </w:p>
    <w:p w:rsidR="00AE3D82" w:rsidRPr="00DD0B0C" w:rsidRDefault="00AE3D82" w:rsidP="006D4703">
      <w:pPr>
        <w:rPr>
          <w:rFonts w:cs="Times New Roman"/>
          <w:b/>
          <w:sz w:val="24"/>
          <w:szCs w:val="24"/>
        </w:rPr>
      </w:pPr>
      <w:r w:rsidRPr="00DD0B0C">
        <w:rPr>
          <w:rFonts w:cs="Times New Roman"/>
          <w:b/>
          <w:sz w:val="24"/>
          <w:szCs w:val="24"/>
        </w:rPr>
        <w:t>5. Explica el proceso de constitución de la Comunidad Económica Europea (Hernández Andreu, pp. 240-245 y Camps 110-111).</w:t>
      </w:r>
    </w:p>
    <w:p w:rsidR="001E3D16" w:rsidRPr="00DD0B0C" w:rsidRDefault="001E3D16" w:rsidP="006D4703">
      <w:pPr>
        <w:rPr>
          <w:rFonts w:cs="Times New Roman"/>
          <w:sz w:val="24"/>
          <w:szCs w:val="24"/>
        </w:rPr>
      </w:pPr>
      <w:r w:rsidRPr="00DD0B0C">
        <w:rPr>
          <w:rFonts w:cs="Times New Roman"/>
          <w:sz w:val="24"/>
          <w:szCs w:val="24"/>
        </w:rPr>
        <w:t>La Comunidad Económica Europea (CEE) fue una organización internacional creada por los Tratados de Roma del 1957 (en vigor desde el 1958), con la finalidad de crear un mercado común europeo. Los Estados signatarios fueron Francia, Italia, Alemania (por ese entonces, sólo la República Federal Alemana, no la República Democrática Alemana) y los tres países del Benelux (Bélgica, Países Bajos y Luxemburgo). El tratado establecía un mercado y aranceles externos comunes, una política conjunta para la agricultura, políticas comunes para el movimiento de la mano de obra y los transportes, y fundaba instituciones comunes para el desarrollo económico. Estas instituciones, posteriormente, en el año 1965, se fusionaran con las instituciones de la CECA y las de la EURATOM, gracias al Tratado de fusión (o Tratado de Bruselas).</w:t>
      </w:r>
    </w:p>
    <w:p w:rsidR="001E3D16" w:rsidRPr="00DD0B0C" w:rsidRDefault="001E3D16" w:rsidP="006D4703">
      <w:pPr>
        <w:rPr>
          <w:rFonts w:cs="Times New Roman"/>
          <w:sz w:val="24"/>
          <w:szCs w:val="24"/>
        </w:rPr>
      </w:pPr>
      <w:r w:rsidRPr="00DD0B0C">
        <w:rPr>
          <w:rFonts w:cs="Times New Roman"/>
          <w:sz w:val="24"/>
          <w:szCs w:val="24"/>
        </w:rPr>
        <w:t>La CEE fue la más famosa de las tres Comunidades Europeas, y después del Tratado de Maastricht (o TUE) se le cambió el nombre a Comunidad Europea (CE). También en el Tratado de Maastricht se creó oficialmente la Unión Europea. Tras la creación de la Unión Europea, la CE (antigua CEE) pasó a formar parte del primero de los tres Pilares de la Unión Europea.</w:t>
      </w:r>
    </w:p>
    <w:p w:rsidR="001E3D16" w:rsidRPr="00DD0B0C" w:rsidRDefault="001E3D16" w:rsidP="006D4703">
      <w:pPr>
        <w:rPr>
          <w:rFonts w:cs="Times New Roman"/>
          <w:b/>
          <w:sz w:val="24"/>
          <w:szCs w:val="24"/>
        </w:rPr>
      </w:pPr>
    </w:p>
    <w:p w:rsidR="00AE3D82" w:rsidRPr="00DD0B0C" w:rsidRDefault="00AE3D82" w:rsidP="006D4703">
      <w:pPr>
        <w:rPr>
          <w:rFonts w:cs="Times New Roman"/>
          <w:b/>
          <w:sz w:val="24"/>
          <w:szCs w:val="24"/>
        </w:rPr>
      </w:pPr>
      <w:r w:rsidRPr="00DD0B0C">
        <w:rPr>
          <w:rFonts w:cs="Times New Roman"/>
          <w:b/>
          <w:sz w:val="24"/>
          <w:szCs w:val="24"/>
        </w:rPr>
        <w:t xml:space="preserve">6. Observa atentamente la figura 9.2 y señala las etapas de la evolución de la economía europea entre 1960-2005 (Hernández Andreu, p. 247). Realiza la misma operación con las figuras 9.9, 9.10, 9.11 y 9.12,  señalando la diferencia entre Las Europa Occidental y Oriental entre 1950-1970 (Hernández Andreu, p. 251). </w:t>
      </w:r>
    </w:p>
    <w:p w:rsidR="001E3D16" w:rsidRPr="00DD0B0C" w:rsidRDefault="001E3D16" w:rsidP="006D4703">
      <w:pPr>
        <w:rPr>
          <w:rFonts w:cs="Times New Roman"/>
          <w:sz w:val="24"/>
          <w:szCs w:val="24"/>
        </w:rPr>
      </w:pPr>
      <w:r w:rsidRPr="00DD0B0C">
        <w:rPr>
          <w:rFonts w:cs="Times New Roman"/>
          <w:sz w:val="24"/>
          <w:szCs w:val="24"/>
        </w:rPr>
        <w:t xml:space="preserve">Observando el desarrollo económico europeo desde 1960 hasta 2005 vemos como en ese periodo se incluye la Guerra fría. Fue entre los 1950s y los 1970s cuando se vivió una etapa con un crecimiento económico fuerte y continuado que acabó con la crisis del petróleo de 1973. Una vez superada esta crisis, los estados europeos volvieron a </w:t>
      </w:r>
      <w:r w:rsidRPr="00DD0B0C">
        <w:rPr>
          <w:rFonts w:cs="Times New Roman"/>
          <w:sz w:val="24"/>
          <w:szCs w:val="24"/>
        </w:rPr>
        <w:lastRenderedPageBreak/>
        <w:t xml:space="preserve">crecer económicamente, pero nunca tanto como durante aquellos 20 años.  Posteriormente se vio impulsado el llamado proceso de "Globalización". Por otra parte, la República Popular China se ha decidido abiertamente por incrementar sus relaciones comerciales con la UE. La Unión Económica y Monetaria (UEM) pretende la creación de un mercado interior de la Unión Europea, en el que converjan progresivamente las distintas políticas y regulaciones económicas de los Estados miembros, y en el que eventualmente se realice una unión monetaria. </w:t>
      </w:r>
    </w:p>
    <w:p w:rsidR="001E3D16" w:rsidRPr="00DD0B0C" w:rsidRDefault="001E3D16" w:rsidP="006D4703">
      <w:pPr>
        <w:rPr>
          <w:rFonts w:cs="Times New Roman"/>
          <w:sz w:val="24"/>
          <w:szCs w:val="24"/>
        </w:rPr>
      </w:pPr>
      <w:r w:rsidRPr="00DD0B0C">
        <w:rPr>
          <w:rFonts w:cs="Times New Roman"/>
          <w:sz w:val="24"/>
          <w:szCs w:val="24"/>
        </w:rPr>
        <w:t>En 1998, el Banco Central Europeo fue creado en conformidad con el Tratado de Maastricht, para introducir y gestionar la nueva moneda, efectuar operaciones con divisas y garantizar el buen funcionamiento de los sistemas de pago. Es también responsable de fijar las grandes líneas y ejecutar la política económica y monetaria de la UE. Una de las principales tareas del BCE es mantener la estabilidad de precios en la zona euro, preservando el poder adquisitivo del euro.</w:t>
      </w:r>
    </w:p>
    <w:p w:rsidR="001E3D16" w:rsidRPr="00DD0B0C" w:rsidRDefault="001E3D16" w:rsidP="006D4703">
      <w:pPr>
        <w:rPr>
          <w:rFonts w:cs="Times New Roman"/>
          <w:b/>
          <w:sz w:val="24"/>
          <w:szCs w:val="24"/>
        </w:rPr>
      </w:pPr>
    </w:p>
    <w:p w:rsidR="00AE3D82" w:rsidRDefault="00AE3D82" w:rsidP="006D4703">
      <w:pPr>
        <w:rPr>
          <w:rFonts w:cs="Times New Roman"/>
          <w:b/>
          <w:sz w:val="24"/>
          <w:szCs w:val="24"/>
        </w:rPr>
      </w:pPr>
      <w:r w:rsidRPr="00DD0B0C">
        <w:rPr>
          <w:rFonts w:cs="Times New Roman"/>
          <w:b/>
          <w:sz w:val="24"/>
          <w:szCs w:val="24"/>
        </w:rPr>
        <w:t>7. El crecimiento económico se ralentizó a partir de los años setenta. Señale tres de las causas que originaron la inflación y su impacto sobre el crecimiento (Camps, 116-119)</w:t>
      </w:r>
    </w:p>
    <w:p w:rsidR="006D4703" w:rsidRDefault="002975DB" w:rsidP="002975DB">
      <w:pPr>
        <w:spacing w:after="0"/>
        <w:rPr>
          <w:rFonts w:cs="Times New Roman"/>
          <w:sz w:val="24"/>
          <w:szCs w:val="24"/>
        </w:rPr>
      </w:pPr>
      <w:r>
        <w:rPr>
          <w:rFonts w:cs="Times New Roman"/>
          <w:sz w:val="24"/>
          <w:szCs w:val="24"/>
        </w:rPr>
        <w:t xml:space="preserve">En los años 70 se produce una desaceleración del crecimiento junto con un aumento de la inflación, lo que se conoce como “crisis de la estanflación”. Esta crisis se debió a 3 tipos de shocks, </w:t>
      </w:r>
      <w:r w:rsidR="00A008CE">
        <w:rPr>
          <w:rFonts w:cs="Times New Roman"/>
          <w:sz w:val="24"/>
          <w:szCs w:val="24"/>
        </w:rPr>
        <w:t>que veremos a continuación.</w:t>
      </w:r>
    </w:p>
    <w:p w:rsidR="002975DB" w:rsidRDefault="002975DB" w:rsidP="002975DB">
      <w:pPr>
        <w:pStyle w:val="Prrafodelista"/>
        <w:numPr>
          <w:ilvl w:val="0"/>
          <w:numId w:val="1"/>
        </w:numPr>
        <w:rPr>
          <w:rFonts w:cs="Times New Roman"/>
          <w:sz w:val="24"/>
          <w:szCs w:val="24"/>
        </w:rPr>
      </w:pPr>
      <w:r>
        <w:rPr>
          <w:rFonts w:cs="Times New Roman"/>
          <w:sz w:val="24"/>
          <w:szCs w:val="24"/>
        </w:rPr>
        <w:t xml:space="preserve">Shock del </w:t>
      </w:r>
      <w:r w:rsidRPr="002975DB">
        <w:rPr>
          <w:rFonts w:cs="Times New Roman"/>
          <w:sz w:val="24"/>
          <w:szCs w:val="24"/>
          <w:u w:val="single"/>
        </w:rPr>
        <w:t>mercado laboral</w:t>
      </w:r>
      <w:r>
        <w:rPr>
          <w:rFonts w:cs="Times New Roman"/>
          <w:sz w:val="24"/>
          <w:szCs w:val="24"/>
        </w:rPr>
        <w:t>: L</w:t>
      </w:r>
      <w:r w:rsidRPr="002975DB">
        <w:rPr>
          <w:rFonts w:cs="Times New Roman"/>
          <w:sz w:val="24"/>
          <w:szCs w:val="24"/>
        </w:rPr>
        <w:t>os sindicatos</w:t>
      </w:r>
      <w:r>
        <w:rPr>
          <w:rFonts w:cs="Times New Roman"/>
          <w:sz w:val="24"/>
          <w:szCs w:val="24"/>
        </w:rPr>
        <w:t xml:space="preserve"> (que se sentían fuertes después de dos décadas de plena ocupación, en la edad dorada del capitalismo)</w:t>
      </w:r>
      <w:r w:rsidRPr="002975DB">
        <w:rPr>
          <w:rFonts w:cs="Times New Roman"/>
          <w:sz w:val="24"/>
          <w:szCs w:val="24"/>
        </w:rPr>
        <w:t xml:space="preserve"> p</w:t>
      </w:r>
      <w:r>
        <w:rPr>
          <w:rFonts w:cs="Times New Roman"/>
          <w:sz w:val="24"/>
          <w:szCs w:val="24"/>
        </w:rPr>
        <w:t>idieron incrementos del salario</w:t>
      </w:r>
      <w:r w:rsidRPr="002975DB">
        <w:rPr>
          <w:rFonts w:cs="Times New Roman"/>
          <w:sz w:val="24"/>
          <w:szCs w:val="24"/>
        </w:rPr>
        <w:t xml:space="preserve"> superiores a la productividad del trabajo</w:t>
      </w:r>
      <w:r>
        <w:rPr>
          <w:rFonts w:cs="Times New Roman"/>
          <w:sz w:val="24"/>
          <w:szCs w:val="24"/>
        </w:rPr>
        <w:t xml:space="preserve">. Esto incrementó los </w:t>
      </w:r>
      <w:r w:rsidRPr="00294B5B">
        <w:rPr>
          <w:rFonts w:cs="Times New Roman"/>
          <w:sz w:val="24"/>
          <w:szCs w:val="24"/>
          <w:u w:val="single"/>
        </w:rPr>
        <w:t>costes salariales</w:t>
      </w:r>
      <w:r>
        <w:rPr>
          <w:rFonts w:cs="Times New Roman"/>
          <w:sz w:val="24"/>
          <w:szCs w:val="24"/>
        </w:rPr>
        <w:t xml:space="preserve"> de las empresas y por tanto aumentaron los precios.</w:t>
      </w:r>
    </w:p>
    <w:p w:rsidR="002975DB" w:rsidRDefault="002975DB" w:rsidP="002975DB">
      <w:pPr>
        <w:pStyle w:val="Prrafodelista"/>
        <w:numPr>
          <w:ilvl w:val="0"/>
          <w:numId w:val="1"/>
        </w:numPr>
        <w:rPr>
          <w:rFonts w:cs="Times New Roman"/>
          <w:sz w:val="24"/>
          <w:szCs w:val="24"/>
        </w:rPr>
      </w:pPr>
      <w:r>
        <w:rPr>
          <w:rFonts w:cs="Times New Roman"/>
          <w:sz w:val="24"/>
          <w:szCs w:val="24"/>
        </w:rPr>
        <w:t xml:space="preserve">Shock </w:t>
      </w:r>
      <w:r w:rsidR="002B08AF" w:rsidRPr="002B08AF">
        <w:rPr>
          <w:rFonts w:cs="Times New Roman"/>
          <w:sz w:val="24"/>
          <w:szCs w:val="24"/>
          <w:u w:val="single"/>
        </w:rPr>
        <w:t>financiero</w:t>
      </w:r>
      <w:r w:rsidR="002B08AF">
        <w:rPr>
          <w:rFonts w:cs="Times New Roman"/>
          <w:sz w:val="24"/>
          <w:szCs w:val="24"/>
        </w:rPr>
        <w:t>: El dólar se devaluó considerablemente, lo que hizo insostenible el control de los precios de divisas (tratado de Bretton Woods) y las monedas se dejaron en flotación,</w:t>
      </w:r>
      <w:r w:rsidR="0038469A">
        <w:rPr>
          <w:rFonts w:cs="Times New Roman"/>
          <w:sz w:val="24"/>
          <w:szCs w:val="24"/>
        </w:rPr>
        <w:t xml:space="preserve"> es decir, se</w:t>
      </w:r>
      <w:r w:rsidR="002B08AF">
        <w:rPr>
          <w:rFonts w:cs="Times New Roman"/>
          <w:sz w:val="24"/>
          <w:szCs w:val="24"/>
        </w:rPr>
        <w:t xml:space="preserve"> </w:t>
      </w:r>
      <w:r w:rsidR="0038469A">
        <w:rPr>
          <w:rFonts w:cs="Times New Roman"/>
          <w:sz w:val="24"/>
          <w:szCs w:val="24"/>
        </w:rPr>
        <w:t>permitió</w:t>
      </w:r>
      <w:r w:rsidR="002B08AF">
        <w:rPr>
          <w:rFonts w:cs="Times New Roman"/>
          <w:sz w:val="24"/>
          <w:szCs w:val="24"/>
        </w:rPr>
        <w:t xml:space="preserve"> que el precio lo fijara el mercado. Se creó mucho más papel moneda y ello generó una </w:t>
      </w:r>
      <w:r w:rsidR="002B08AF" w:rsidRPr="002B08AF">
        <w:rPr>
          <w:rFonts w:cs="Times New Roman"/>
          <w:sz w:val="24"/>
          <w:szCs w:val="24"/>
          <w:u w:val="single"/>
        </w:rPr>
        <w:t>inflación monetaria</w:t>
      </w:r>
      <w:r w:rsidR="002B08AF">
        <w:rPr>
          <w:rFonts w:cs="Times New Roman"/>
          <w:sz w:val="24"/>
          <w:szCs w:val="24"/>
        </w:rPr>
        <w:t>.</w:t>
      </w:r>
    </w:p>
    <w:p w:rsidR="002B08AF" w:rsidRDefault="002B08AF" w:rsidP="00347006">
      <w:pPr>
        <w:pStyle w:val="Prrafodelista"/>
        <w:numPr>
          <w:ilvl w:val="0"/>
          <w:numId w:val="1"/>
        </w:numPr>
        <w:ind w:left="357" w:hanging="357"/>
        <w:rPr>
          <w:rFonts w:cs="Times New Roman"/>
          <w:sz w:val="24"/>
          <w:szCs w:val="24"/>
        </w:rPr>
      </w:pPr>
      <w:r>
        <w:rPr>
          <w:rFonts w:cs="Times New Roman"/>
          <w:sz w:val="24"/>
          <w:szCs w:val="24"/>
        </w:rPr>
        <w:t xml:space="preserve">Shock </w:t>
      </w:r>
      <w:r w:rsidR="00332660" w:rsidRPr="00332660">
        <w:rPr>
          <w:rFonts w:cs="Times New Roman"/>
          <w:sz w:val="24"/>
          <w:szCs w:val="24"/>
          <w:u w:val="single"/>
        </w:rPr>
        <w:t>energético</w:t>
      </w:r>
      <w:r w:rsidR="00332660">
        <w:rPr>
          <w:rFonts w:cs="Times New Roman"/>
          <w:sz w:val="24"/>
          <w:szCs w:val="24"/>
        </w:rPr>
        <w:t>: A partir de 1973 los precios del petróleo aumentaron considerablemente debido a las dos crisis del petróleo</w:t>
      </w:r>
      <w:r w:rsidR="004E137E">
        <w:rPr>
          <w:rFonts w:cs="Times New Roman"/>
          <w:sz w:val="24"/>
          <w:szCs w:val="24"/>
        </w:rPr>
        <w:t xml:space="preserve"> (1ª</w:t>
      </w:r>
      <w:r w:rsidR="00332660">
        <w:rPr>
          <w:rFonts w:cs="Times New Roman"/>
          <w:sz w:val="24"/>
          <w:szCs w:val="24"/>
        </w:rPr>
        <w:t xml:space="preserve"> </w:t>
      </w:r>
      <w:r w:rsidR="004E137E">
        <w:rPr>
          <w:rFonts w:cs="Times New Roman"/>
          <w:sz w:val="24"/>
          <w:szCs w:val="24"/>
        </w:rPr>
        <w:t xml:space="preserve">en </w:t>
      </w:r>
      <w:r w:rsidR="00332660">
        <w:rPr>
          <w:rFonts w:cs="Times New Roman"/>
          <w:sz w:val="24"/>
          <w:szCs w:val="24"/>
        </w:rPr>
        <w:t>1973-1974</w:t>
      </w:r>
      <w:r w:rsidR="004E137E">
        <w:rPr>
          <w:rFonts w:cs="Times New Roman"/>
          <w:sz w:val="24"/>
          <w:szCs w:val="24"/>
        </w:rPr>
        <w:t>; 2ª</w:t>
      </w:r>
      <w:r w:rsidR="00332660">
        <w:rPr>
          <w:rFonts w:cs="Times New Roman"/>
          <w:sz w:val="24"/>
          <w:szCs w:val="24"/>
        </w:rPr>
        <w:t xml:space="preserve"> en 1979-1980</w:t>
      </w:r>
      <w:r w:rsidR="004E137E">
        <w:rPr>
          <w:rFonts w:cs="Times New Roman"/>
          <w:sz w:val="24"/>
          <w:szCs w:val="24"/>
        </w:rPr>
        <w:t>)</w:t>
      </w:r>
      <w:r w:rsidR="00332660">
        <w:rPr>
          <w:rFonts w:cs="Times New Roman"/>
          <w:sz w:val="24"/>
          <w:szCs w:val="24"/>
        </w:rPr>
        <w:t xml:space="preserve">. Estas crisis se </w:t>
      </w:r>
      <w:r w:rsidR="008D313C">
        <w:rPr>
          <w:rFonts w:cs="Times New Roman"/>
          <w:sz w:val="24"/>
          <w:szCs w:val="24"/>
        </w:rPr>
        <w:t>originaron</w:t>
      </w:r>
      <w:r w:rsidR="00332660">
        <w:rPr>
          <w:rFonts w:cs="Times New Roman"/>
          <w:sz w:val="24"/>
          <w:szCs w:val="24"/>
        </w:rPr>
        <w:t xml:space="preserve"> porque los países productores de petróleo redujeron su oferta</w:t>
      </w:r>
      <w:r w:rsidR="00395412">
        <w:rPr>
          <w:rFonts w:cs="Times New Roman"/>
          <w:sz w:val="24"/>
          <w:szCs w:val="24"/>
        </w:rPr>
        <w:t>,</w:t>
      </w:r>
      <w:r w:rsidR="00332660">
        <w:rPr>
          <w:rFonts w:cs="Times New Roman"/>
          <w:sz w:val="24"/>
          <w:szCs w:val="24"/>
        </w:rPr>
        <w:t xml:space="preserve"> como represalia a la posición de Occidente en varias guerras de Oriente </w:t>
      </w:r>
      <w:r w:rsidR="004E137E">
        <w:rPr>
          <w:rFonts w:cs="Times New Roman"/>
          <w:sz w:val="24"/>
          <w:szCs w:val="24"/>
        </w:rPr>
        <w:t>Próximo</w:t>
      </w:r>
      <w:r w:rsidR="00332660">
        <w:rPr>
          <w:rFonts w:cs="Times New Roman"/>
          <w:sz w:val="24"/>
          <w:szCs w:val="24"/>
        </w:rPr>
        <w:t>.</w:t>
      </w:r>
      <w:r w:rsidR="00CB5563">
        <w:rPr>
          <w:rFonts w:cs="Times New Roman"/>
          <w:sz w:val="24"/>
          <w:szCs w:val="24"/>
        </w:rPr>
        <w:t xml:space="preserve"> El </w:t>
      </w:r>
      <w:r w:rsidR="00CB5563" w:rsidRPr="00810D38">
        <w:rPr>
          <w:rFonts w:cs="Times New Roman"/>
          <w:sz w:val="24"/>
          <w:szCs w:val="24"/>
          <w:u w:val="single"/>
        </w:rPr>
        <w:t>encarecimiento del petróleo</w:t>
      </w:r>
      <w:r w:rsidR="00CB5563">
        <w:rPr>
          <w:rFonts w:cs="Times New Roman"/>
          <w:sz w:val="24"/>
          <w:szCs w:val="24"/>
        </w:rPr>
        <w:t xml:space="preserve"> a</w:t>
      </w:r>
      <w:r w:rsidR="000D4043">
        <w:rPr>
          <w:rFonts w:cs="Times New Roman"/>
          <w:sz w:val="24"/>
          <w:szCs w:val="24"/>
        </w:rPr>
        <w:t>umentó</w:t>
      </w:r>
      <w:r w:rsidR="00CB5563">
        <w:rPr>
          <w:rFonts w:cs="Times New Roman"/>
          <w:sz w:val="24"/>
          <w:szCs w:val="24"/>
        </w:rPr>
        <w:t xml:space="preserve"> los costes de las empresas, lo que presionó al alza los precios del producto final.</w:t>
      </w:r>
    </w:p>
    <w:p w:rsidR="008D313C" w:rsidRPr="008D313C" w:rsidRDefault="0050562F" w:rsidP="008D313C">
      <w:pPr>
        <w:rPr>
          <w:rFonts w:cs="Times New Roman"/>
          <w:sz w:val="24"/>
          <w:szCs w:val="24"/>
        </w:rPr>
      </w:pPr>
      <w:r>
        <w:rPr>
          <w:rFonts w:cs="Times New Roman"/>
          <w:sz w:val="24"/>
          <w:szCs w:val="24"/>
        </w:rPr>
        <w:t>E</w:t>
      </w:r>
      <w:r w:rsidR="008D313C">
        <w:rPr>
          <w:rFonts w:cs="Times New Roman"/>
          <w:sz w:val="24"/>
          <w:szCs w:val="24"/>
        </w:rPr>
        <w:t>stos factores generaron una inflación que a la vez frenaba el crecimiento económico.</w:t>
      </w:r>
    </w:p>
    <w:p w:rsidR="003803E3" w:rsidRDefault="003803E3" w:rsidP="006D4703">
      <w:pPr>
        <w:rPr>
          <w:rFonts w:cs="Times New Roman"/>
          <w:sz w:val="24"/>
          <w:szCs w:val="24"/>
        </w:rPr>
      </w:pPr>
    </w:p>
    <w:p w:rsidR="0050562F" w:rsidRPr="006D4703" w:rsidRDefault="0050562F" w:rsidP="006D4703">
      <w:pPr>
        <w:rPr>
          <w:rFonts w:cs="Times New Roman"/>
          <w:sz w:val="24"/>
          <w:szCs w:val="24"/>
        </w:rPr>
      </w:pPr>
    </w:p>
    <w:p w:rsidR="00AE3D82" w:rsidRPr="00DD0B0C" w:rsidRDefault="00AE3D82" w:rsidP="006D4703">
      <w:pPr>
        <w:rPr>
          <w:rFonts w:cs="Times New Roman"/>
          <w:b/>
          <w:sz w:val="24"/>
          <w:szCs w:val="24"/>
        </w:rPr>
      </w:pPr>
      <w:r w:rsidRPr="00DD0B0C">
        <w:rPr>
          <w:rFonts w:cs="Times New Roman"/>
          <w:b/>
          <w:sz w:val="24"/>
          <w:szCs w:val="24"/>
        </w:rPr>
        <w:lastRenderedPageBreak/>
        <w:t>8. Explica los efectos negativos de la política autárquica para la economía española (Hernández Andreu, pp. 257-260).</w:t>
      </w:r>
    </w:p>
    <w:p w:rsidR="001E3D16" w:rsidRPr="00DD0B0C" w:rsidRDefault="001E3D16" w:rsidP="006D4703">
      <w:pPr>
        <w:rPr>
          <w:rFonts w:cs="Times New Roman"/>
          <w:sz w:val="24"/>
          <w:szCs w:val="24"/>
        </w:rPr>
      </w:pPr>
      <w:r w:rsidRPr="00DD0B0C">
        <w:rPr>
          <w:rFonts w:cs="Times New Roman"/>
          <w:sz w:val="24"/>
          <w:szCs w:val="24"/>
        </w:rPr>
        <w:t>Los efectos de una política autárquica fueron la carestía de elementos básicos para la reconstrucción y el desarrollo del país, como materias primas, maquinaria o productos energéticos. Por otra parte, las posibilidades de importación eran de por sí muy limitadas: dada la ausencia de reservas y el veto a la inversión extranjera, dependían completamente de la escasa capacidad exportadora, que a su vez estaba negativamente condicionada por una política de cambios que perseguía una peseta fuerte.</w:t>
      </w:r>
    </w:p>
    <w:p w:rsidR="001E3D16" w:rsidRPr="00DD0B0C" w:rsidRDefault="001E3D16" w:rsidP="006D4703">
      <w:pPr>
        <w:rPr>
          <w:rFonts w:cs="Times New Roman"/>
          <w:b/>
          <w:sz w:val="24"/>
          <w:szCs w:val="24"/>
        </w:rPr>
      </w:pPr>
    </w:p>
    <w:p w:rsidR="00AE3D82" w:rsidRPr="00DD0B0C" w:rsidRDefault="00AE3D82" w:rsidP="006D4703">
      <w:pPr>
        <w:rPr>
          <w:rFonts w:cs="Times New Roman"/>
          <w:b/>
          <w:sz w:val="24"/>
          <w:szCs w:val="24"/>
        </w:rPr>
      </w:pPr>
      <w:r w:rsidRPr="00DD0B0C">
        <w:rPr>
          <w:rFonts w:cs="Times New Roman"/>
          <w:b/>
          <w:sz w:val="24"/>
          <w:szCs w:val="24"/>
        </w:rPr>
        <w:t xml:space="preserve">9. Sobre los cuadros 10.1 y 10.2 analiza las diferencias entre la reconstrucción española y europea después de la Guerra Civil y de la 2ª Guerra Mundial (Hernández Andreu, pp. 271-272). </w:t>
      </w:r>
    </w:p>
    <w:p w:rsidR="001E3D16" w:rsidRPr="00DD0B0C" w:rsidRDefault="001E3D16" w:rsidP="006D4703">
      <w:pPr>
        <w:rPr>
          <w:rFonts w:cs="Times New Roman"/>
          <w:sz w:val="24"/>
          <w:szCs w:val="24"/>
        </w:rPr>
      </w:pPr>
      <w:r w:rsidRPr="00DD0B0C">
        <w:rPr>
          <w:rFonts w:cs="Times New Roman"/>
          <w:sz w:val="24"/>
          <w:szCs w:val="24"/>
        </w:rPr>
        <w:t>Analizando las diferencias entre la reconstrucción española y europea, sabemos que tras la Segunda Guerra Mundial, se creó el Plan Marshall que fue el plan más importante de Estados Unidos para la reconstrucción de los países europeos después de la Segunda Guerra Mundial, que a la vez estaba destinado a contener un posible avance del comunismo. El Plan Marshall se repartió entre los países participantes básicamente según la renta per cápita. Muchas partes del mundo que también fueron devastadas por la Segunda Guerra Mundial no se beneficiaron de Plan Marshall. El único gran país de Europa occidental que quedó excluido de las ayudas fue España debido a que tras la Guerra Civil Española, España se cerró en una política de autarquía y proteccionismo bajo el régimen franquista. Debido a ser excluido, España no pudo beneficiarse del plan y poder recuperarse más rápido, por lo que creó su propio Plan de Estabilización en 1959. El objetivo del plan fue la estabilización y liberalización de la economía española, que supuso la ruptura con la política de autarquía del franquismo y posibilitó el inicio de una época de crecimiento económico en el país durante los años sesenta. Es obvio que al crearse casi 15 años después el plan español, tardara mucho más en recuperarse.</w:t>
      </w:r>
    </w:p>
    <w:p w:rsidR="001E3D16" w:rsidRPr="00DD0B0C" w:rsidRDefault="001E3D16" w:rsidP="006D4703">
      <w:pPr>
        <w:rPr>
          <w:rFonts w:cs="Times New Roman"/>
          <w:b/>
          <w:sz w:val="24"/>
          <w:szCs w:val="24"/>
        </w:rPr>
      </w:pPr>
    </w:p>
    <w:p w:rsidR="00AE3D82" w:rsidRPr="00DD0B0C" w:rsidRDefault="00AE3D82" w:rsidP="006D4703">
      <w:pPr>
        <w:rPr>
          <w:rFonts w:cs="Times New Roman"/>
          <w:b/>
          <w:sz w:val="24"/>
          <w:szCs w:val="24"/>
        </w:rPr>
      </w:pPr>
      <w:r w:rsidRPr="00DD0B0C">
        <w:rPr>
          <w:rFonts w:cs="Times New Roman"/>
          <w:b/>
          <w:sz w:val="24"/>
          <w:szCs w:val="24"/>
        </w:rPr>
        <w:t>10. Contextualiza y valora el Plan de Estabilización de 1959 ((Hernández Andreu, pp. 260- 269).</w:t>
      </w:r>
    </w:p>
    <w:p w:rsidR="001E3D16" w:rsidRPr="00DD0B0C" w:rsidRDefault="001E3D16" w:rsidP="006D4703">
      <w:pPr>
        <w:rPr>
          <w:rFonts w:cs="Times New Roman"/>
          <w:sz w:val="24"/>
          <w:szCs w:val="24"/>
        </w:rPr>
      </w:pPr>
      <w:r w:rsidRPr="00DD0B0C">
        <w:rPr>
          <w:rFonts w:cs="Times New Roman"/>
          <w:sz w:val="24"/>
          <w:szCs w:val="24"/>
        </w:rPr>
        <w:t xml:space="preserve">Desde el final de la Guerra Civil, en 1939, el gobierno español había seguido una política económica basada en la autarquía, consecuencia de esa política, en 1959, España era junto a Portugal el país más pobre de Europa, a pesar de un ligero avance en la producción que se vivió desde 1950, amparado por las incipientes ayudas norteamericanas. Los problemas y desequilibrios que alejaban a la economía española </w:t>
      </w:r>
      <w:r w:rsidRPr="00DD0B0C">
        <w:rPr>
          <w:rFonts w:cs="Times New Roman"/>
          <w:sz w:val="24"/>
          <w:szCs w:val="24"/>
        </w:rPr>
        <w:lastRenderedPageBreak/>
        <w:t>eran variados y de gravedad: el incremento del coste de la vida 1956 y ante el que el gobierno había reaccionado con un aumento importante de los salarios que no hizo sino agravar la situación; aumento de la deuda pública; déficit comercial muy elevado de la balanza de pagos y una consiguiente reducción de divisas hasta mínimos históricos. El Gobierno español comprobó que, a 31 de diciembre de 1958, sus reservas exteriores sólo suponían 45,4 millones de dólares, cifra inferior a la deuda exterior a corto plazo. De igual manera existían licencias de importación por un valor de 200 millones de dólares, que de no tomar medidas, ponía en peligro la recepción de productos vitales. Tras estos problemas de equilibrio se decidió crear el Plan de Estabilización en 1959.</w:t>
      </w:r>
    </w:p>
    <w:p w:rsidR="001E3D16" w:rsidRPr="00DD0B0C" w:rsidRDefault="001E3D16" w:rsidP="006D4703">
      <w:pPr>
        <w:rPr>
          <w:rFonts w:cs="Times New Roman"/>
          <w:b/>
          <w:sz w:val="24"/>
          <w:szCs w:val="24"/>
        </w:rPr>
      </w:pPr>
    </w:p>
    <w:p w:rsidR="00AE3D82" w:rsidRDefault="00AE3D82" w:rsidP="006D4703">
      <w:pPr>
        <w:rPr>
          <w:rFonts w:cs="Times New Roman"/>
          <w:b/>
          <w:sz w:val="24"/>
          <w:szCs w:val="24"/>
        </w:rPr>
      </w:pPr>
      <w:r w:rsidRPr="00DD0B0C">
        <w:rPr>
          <w:rFonts w:cs="Times New Roman"/>
          <w:b/>
          <w:sz w:val="24"/>
          <w:szCs w:val="24"/>
        </w:rPr>
        <w:t>11 Cómo y cuándo se produjo la descolonización african</w:t>
      </w:r>
      <w:r w:rsidR="00C04D1F">
        <w:rPr>
          <w:rFonts w:cs="Times New Roman"/>
          <w:b/>
          <w:sz w:val="24"/>
          <w:szCs w:val="24"/>
        </w:rPr>
        <w:t>a</w:t>
      </w:r>
      <w:r w:rsidRPr="00DD0B0C">
        <w:rPr>
          <w:rFonts w:cs="Times New Roman"/>
          <w:b/>
          <w:sz w:val="24"/>
          <w:szCs w:val="24"/>
        </w:rPr>
        <w:t xml:space="preserve"> y que consecuencias tuvo para su crecimiento (Camps, pp. 121-124).</w:t>
      </w:r>
    </w:p>
    <w:p w:rsidR="009460E2" w:rsidRDefault="009460E2" w:rsidP="009460E2">
      <w:pPr>
        <w:rPr>
          <w:rFonts w:cs="Times New Roman"/>
          <w:sz w:val="24"/>
          <w:szCs w:val="24"/>
        </w:rPr>
      </w:pPr>
      <w:r>
        <w:rPr>
          <w:rFonts w:cs="Times New Roman"/>
          <w:sz w:val="24"/>
          <w:szCs w:val="24"/>
        </w:rPr>
        <w:t xml:space="preserve">Durante los </w:t>
      </w:r>
      <w:r w:rsidRPr="009460E2">
        <w:rPr>
          <w:rFonts w:cs="Times New Roman"/>
          <w:sz w:val="24"/>
          <w:szCs w:val="24"/>
          <w:u w:val="single"/>
        </w:rPr>
        <w:t>años 70</w:t>
      </w:r>
      <w:r>
        <w:rPr>
          <w:rFonts w:cs="Times New Roman"/>
          <w:sz w:val="24"/>
          <w:szCs w:val="24"/>
        </w:rPr>
        <w:t xml:space="preserve"> del siglo XX, </w:t>
      </w:r>
      <w:r w:rsidR="00007A55">
        <w:rPr>
          <w:rFonts w:cs="Times New Roman"/>
          <w:sz w:val="24"/>
          <w:szCs w:val="24"/>
        </w:rPr>
        <w:t xml:space="preserve">posteriormente a la 2ª Guerra Mundial, </w:t>
      </w:r>
      <w:r>
        <w:rPr>
          <w:rFonts w:cs="Times New Roman"/>
          <w:sz w:val="24"/>
          <w:szCs w:val="24"/>
        </w:rPr>
        <w:t>en las colonias africanas y asiáticas se produjeron guerras y enfrentamientos civiles nacidos con el fin de independizarse de la metrópolis europea.</w:t>
      </w:r>
    </w:p>
    <w:p w:rsidR="007A2697" w:rsidRDefault="009460E2" w:rsidP="009460E2">
      <w:pPr>
        <w:spacing w:after="0"/>
        <w:rPr>
          <w:rFonts w:cs="Times New Roman"/>
          <w:sz w:val="24"/>
          <w:szCs w:val="24"/>
        </w:rPr>
      </w:pPr>
      <w:r>
        <w:rPr>
          <w:rFonts w:cs="Times New Roman"/>
          <w:sz w:val="24"/>
          <w:szCs w:val="24"/>
        </w:rPr>
        <w:t>Después de su independencia, las economías del Tercer Mundo se han visto marginadas de los principales mercados internacionales:</w:t>
      </w:r>
    </w:p>
    <w:p w:rsidR="009460E2" w:rsidRDefault="00AA61AF" w:rsidP="009460E2">
      <w:pPr>
        <w:pStyle w:val="Prrafodelista"/>
        <w:numPr>
          <w:ilvl w:val="0"/>
          <w:numId w:val="2"/>
        </w:numPr>
        <w:rPr>
          <w:rFonts w:cs="Times New Roman"/>
          <w:sz w:val="24"/>
          <w:szCs w:val="24"/>
        </w:rPr>
      </w:pPr>
      <w:r>
        <w:rPr>
          <w:rFonts w:cs="Times New Roman"/>
          <w:sz w:val="24"/>
          <w:szCs w:val="24"/>
        </w:rPr>
        <w:t xml:space="preserve">En el mercado de </w:t>
      </w:r>
      <w:r w:rsidRPr="00AA61AF">
        <w:rPr>
          <w:rFonts w:cs="Times New Roman"/>
          <w:sz w:val="24"/>
          <w:szCs w:val="24"/>
          <w:u w:val="single"/>
        </w:rPr>
        <w:t>bienes y servicios</w:t>
      </w:r>
      <w:r>
        <w:rPr>
          <w:rFonts w:cs="Times New Roman"/>
          <w:sz w:val="24"/>
          <w:szCs w:val="24"/>
        </w:rPr>
        <w:t xml:space="preserve">: Tienen una gran </w:t>
      </w:r>
      <w:r w:rsidRPr="00766CAC">
        <w:rPr>
          <w:rFonts w:cs="Times New Roman"/>
          <w:sz w:val="24"/>
          <w:szCs w:val="24"/>
        </w:rPr>
        <w:t>dificultad para exportar</w:t>
      </w:r>
      <w:r>
        <w:rPr>
          <w:rFonts w:cs="Times New Roman"/>
          <w:sz w:val="24"/>
          <w:szCs w:val="24"/>
        </w:rPr>
        <w:t xml:space="preserve"> sus productos (bienes primarios y alimentos), ya que los países ricos protegen a sus propios productores. Esto implica que el valor de sus exportaciones es bastante bajo en relación al coste de sus importaciones.</w:t>
      </w:r>
    </w:p>
    <w:p w:rsidR="00AA61AF" w:rsidRDefault="00AA61AF" w:rsidP="009460E2">
      <w:pPr>
        <w:pStyle w:val="Prrafodelista"/>
        <w:numPr>
          <w:ilvl w:val="0"/>
          <w:numId w:val="2"/>
        </w:numPr>
        <w:rPr>
          <w:rFonts w:cs="Times New Roman"/>
          <w:sz w:val="24"/>
          <w:szCs w:val="24"/>
        </w:rPr>
      </w:pPr>
      <w:r>
        <w:rPr>
          <w:rFonts w:cs="Times New Roman"/>
          <w:sz w:val="24"/>
          <w:szCs w:val="24"/>
        </w:rPr>
        <w:t xml:space="preserve">En el mercado de </w:t>
      </w:r>
      <w:r w:rsidRPr="00AA61AF">
        <w:rPr>
          <w:rFonts w:cs="Times New Roman"/>
          <w:sz w:val="24"/>
          <w:szCs w:val="24"/>
          <w:u w:val="single"/>
        </w:rPr>
        <w:t>capitales</w:t>
      </w:r>
      <w:r>
        <w:rPr>
          <w:rFonts w:cs="Times New Roman"/>
          <w:sz w:val="24"/>
          <w:szCs w:val="24"/>
        </w:rPr>
        <w:t xml:space="preserve">: </w:t>
      </w:r>
      <w:r w:rsidR="00A5413D">
        <w:rPr>
          <w:rFonts w:cs="Times New Roman"/>
          <w:sz w:val="24"/>
          <w:szCs w:val="24"/>
        </w:rPr>
        <w:t>Sufren una escasa afluencia de capitales financieros, ya que los mercados de capital preferían los rendimientos excepcionales de América y Oceanía, antes que financiar el desarrollo económico de África y Asia.</w:t>
      </w:r>
      <w:r w:rsidR="00735309">
        <w:rPr>
          <w:rFonts w:cs="Times New Roman"/>
          <w:sz w:val="24"/>
          <w:szCs w:val="24"/>
        </w:rPr>
        <w:t xml:space="preserve"> Además, el costo de la financiación era mayor debido al bajo valor de sus exportaciones.</w:t>
      </w:r>
    </w:p>
    <w:p w:rsidR="00A5413D" w:rsidRDefault="00766CAC" w:rsidP="00347006">
      <w:pPr>
        <w:pStyle w:val="Prrafodelista"/>
        <w:numPr>
          <w:ilvl w:val="0"/>
          <w:numId w:val="2"/>
        </w:numPr>
        <w:ind w:left="357" w:hanging="357"/>
        <w:rPr>
          <w:rFonts w:cs="Times New Roman"/>
          <w:sz w:val="24"/>
          <w:szCs w:val="24"/>
        </w:rPr>
      </w:pPr>
      <w:r w:rsidRPr="00766CAC">
        <w:rPr>
          <w:rFonts w:cs="Times New Roman"/>
          <w:sz w:val="24"/>
          <w:szCs w:val="24"/>
        </w:rPr>
        <w:t xml:space="preserve">En el mercado de </w:t>
      </w:r>
      <w:r w:rsidRPr="00766CAC">
        <w:rPr>
          <w:rFonts w:cs="Times New Roman"/>
          <w:sz w:val="24"/>
          <w:szCs w:val="24"/>
          <w:u w:val="single"/>
        </w:rPr>
        <w:t>trabajadores</w:t>
      </w:r>
      <w:r w:rsidRPr="00766CAC">
        <w:rPr>
          <w:rFonts w:cs="Times New Roman"/>
          <w:sz w:val="24"/>
          <w:szCs w:val="24"/>
        </w:rPr>
        <w:t xml:space="preserve">: </w:t>
      </w:r>
      <w:r w:rsidR="00FF0E57" w:rsidRPr="00766CAC">
        <w:rPr>
          <w:rFonts w:cs="Times New Roman"/>
          <w:sz w:val="24"/>
          <w:szCs w:val="24"/>
        </w:rPr>
        <w:t>Occidente cerró las puertas de la inmigración</w:t>
      </w:r>
      <w:r w:rsidR="00FF0E57">
        <w:rPr>
          <w:rFonts w:cs="Times New Roman"/>
          <w:sz w:val="24"/>
          <w:szCs w:val="24"/>
        </w:rPr>
        <w:t>, lo que impidió a los trabajadores de las regiones pobres obtener más ingresos.</w:t>
      </w:r>
    </w:p>
    <w:p w:rsidR="00766CAC" w:rsidRPr="00766CAC" w:rsidRDefault="00766CAC" w:rsidP="00766CAC">
      <w:pPr>
        <w:rPr>
          <w:rFonts w:cs="Times New Roman"/>
          <w:sz w:val="24"/>
          <w:szCs w:val="24"/>
        </w:rPr>
      </w:pPr>
      <w:r>
        <w:rPr>
          <w:rFonts w:cs="Times New Roman"/>
          <w:sz w:val="24"/>
          <w:szCs w:val="24"/>
        </w:rPr>
        <w:t>Estos factores han acrecentado la pobreza del Tercer Mundo y la desigualdad entre las economías ricas de Occidente y los países pobres tropicales (sobre todo los africanos).</w:t>
      </w:r>
    </w:p>
    <w:p w:rsidR="007A2697" w:rsidRPr="007A2697" w:rsidRDefault="007A2697" w:rsidP="006D4703">
      <w:pPr>
        <w:rPr>
          <w:rFonts w:cs="Times New Roman"/>
          <w:sz w:val="24"/>
          <w:szCs w:val="24"/>
        </w:rPr>
      </w:pPr>
    </w:p>
    <w:p w:rsidR="00AE3D82" w:rsidRDefault="00AE3D82" w:rsidP="006D4703">
      <w:pPr>
        <w:rPr>
          <w:rFonts w:cs="Times New Roman"/>
          <w:sz w:val="24"/>
          <w:szCs w:val="24"/>
        </w:rPr>
      </w:pPr>
      <w:r w:rsidRPr="00DD0B0C">
        <w:rPr>
          <w:rFonts w:cs="Times New Roman"/>
          <w:b/>
          <w:sz w:val="24"/>
          <w:szCs w:val="24"/>
        </w:rPr>
        <w:t>12. Explica las características principales de la 2ª Globalización  (Camps, pp. 127-133).</w:t>
      </w:r>
    </w:p>
    <w:p w:rsidR="00F81FD5" w:rsidRPr="00F81FD5" w:rsidRDefault="00F81FD5" w:rsidP="00F81FD5">
      <w:pPr>
        <w:rPr>
          <w:rFonts w:cs="Times New Roman"/>
          <w:sz w:val="24"/>
          <w:szCs w:val="24"/>
        </w:rPr>
      </w:pPr>
      <w:r w:rsidRPr="00F81FD5">
        <w:rPr>
          <w:rFonts w:cs="Times New Roman"/>
          <w:sz w:val="24"/>
          <w:szCs w:val="24"/>
        </w:rPr>
        <w:t>Fin de vigencia de los tratados de Bretton Woods, por lo que las relaciones internacionales pasarían a ser mundiales.</w:t>
      </w:r>
    </w:p>
    <w:p w:rsidR="00F81FD5" w:rsidRPr="00F81FD5" w:rsidRDefault="00F81FD5" w:rsidP="00F81FD5">
      <w:pPr>
        <w:rPr>
          <w:rFonts w:cs="Times New Roman"/>
          <w:sz w:val="24"/>
          <w:szCs w:val="24"/>
        </w:rPr>
      </w:pPr>
      <w:r w:rsidRPr="00F81FD5">
        <w:rPr>
          <w:rFonts w:cs="Times New Roman"/>
          <w:sz w:val="24"/>
          <w:szCs w:val="24"/>
        </w:rPr>
        <w:t xml:space="preserve">El cambio tecnológico en los años 80 perteneciente a la tercera revolución tecnológica (Ordenador personal, Internet y las redes de comunicación vía digital) facilitaron una </w:t>
      </w:r>
      <w:r w:rsidRPr="00F81FD5">
        <w:rPr>
          <w:rFonts w:cs="Times New Roman"/>
          <w:sz w:val="24"/>
          <w:szCs w:val="24"/>
        </w:rPr>
        <w:lastRenderedPageBreak/>
        <w:t>información más universal y asequible. Gracias a estas las relaciones comerciales entre consumidor y productor pudieron hacerse sin intermediarios.</w:t>
      </w:r>
    </w:p>
    <w:p w:rsidR="00F81FD5" w:rsidRPr="00F81FD5" w:rsidRDefault="00F81FD5" w:rsidP="00F81FD5">
      <w:pPr>
        <w:rPr>
          <w:rFonts w:cs="Times New Roman"/>
          <w:sz w:val="24"/>
          <w:szCs w:val="24"/>
        </w:rPr>
      </w:pPr>
      <w:r w:rsidRPr="00F81FD5">
        <w:rPr>
          <w:rFonts w:cs="Times New Roman"/>
          <w:sz w:val="24"/>
          <w:szCs w:val="24"/>
        </w:rPr>
        <w:t>La orientación de las migraciones internacionales se modificó, disminuyo en intensidad, con respecto a la primera globalización, estas fueron del sur al norte, entre países pobres a países más ricos pero de poca intensidad debido a las crecientes restricciones y cuotas a la inmigración impuestas por los países desarrollados.</w:t>
      </w:r>
    </w:p>
    <w:p w:rsidR="00F81FD5" w:rsidRPr="00F81FD5" w:rsidRDefault="00F81FD5" w:rsidP="00F81FD5">
      <w:pPr>
        <w:rPr>
          <w:rFonts w:cs="Times New Roman"/>
          <w:sz w:val="24"/>
          <w:szCs w:val="24"/>
        </w:rPr>
      </w:pPr>
      <w:r w:rsidRPr="00F81FD5">
        <w:rPr>
          <w:rFonts w:cs="Times New Roman"/>
          <w:sz w:val="24"/>
          <w:szCs w:val="24"/>
        </w:rPr>
        <w:t>La segunda globalización estuvo basada en la creciente intensidad del comercio y no en cambio en los movimientos de factores productivos como la primera. La industrialización de los países del sur y el este de Asia, los cuales exportaban crecientes cantidades de manufacturas a un precio competitivo ya que disponían de trabajo abundante y barato.</w:t>
      </w:r>
    </w:p>
    <w:p w:rsidR="00F81FD5" w:rsidRPr="00F81FD5" w:rsidRDefault="00F81FD5" w:rsidP="00F81FD5">
      <w:pPr>
        <w:rPr>
          <w:rFonts w:cs="Times New Roman"/>
          <w:sz w:val="24"/>
          <w:szCs w:val="24"/>
        </w:rPr>
      </w:pPr>
      <w:r w:rsidRPr="00F81FD5">
        <w:rPr>
          <w:rFonts w:cs="Times New Roman"/>
          <w:sz w:val="24"/>
          <w:szCs w:val="24"/>
        </w:rPr>
        <w:t>Cabe destacar que con esta segunda globalización, la convergencia económica en el largo plazo mejoro, gracias a la industrialización de la India y China el reparto de la renta mundial convergió, ya que en estos dos países viven una tercera parte de la población mundial.</w:t>
      </w:r>
    </w:p>
    <w:p w:rsidR="00F81FD5" w:rsidRPr="00F81FD5" w:rsidRDefault="00F81FD5" w:rsidP="00F81FD5">
      <w:pPr>
        <w:rPr>
          <w:rFonts w:cs="Times New Roman"/>
          <w:sz w:val="24"/>
          <w:szCs w:val="24"/>
        </w:rPr>
      </w:pPr>
      <w:r w:rsidRPr="00F81FD5">
        <w:rPr>
          <w:rFonts w:cs="Times New Roman"/>
          <w:sz w:val="24"/>
          <w:szCs w:val="24"/>
        </w:rPr>
        <w:t>Esta convergencia ha sido calculada mediante el Índice de Gini por varios autores, los cuales revelan como a partir del año 1970 este índice (El cual mide la convergencia y divergencia entre renta de personas) se ha estabilizado de su tendencia a subir, bajando en los últimos años.</w:t>
      </w:r>
    </w:p>
    <w:p w:rsidR="00F81FD5" w:rsidRDefault="00F81FD5" w:rsidP="00F81FD5">
      <w:pPr>
        <w:rPr>
          <w:rFonts w:cs="Times New Roman"/>
          <w:sz w:val="24"/>
          <w:szCs w:val="24"/>
        </w:rPr>
      </w:pPr>
      <w:r w:rsidRPr="00F81FD5">
        <w:rPr>
          <w:rFonts w:cs="Times New Roman"/>
          <w:sz w:val="24"/>
          <w:szCs w:val="24"/>
        </w:rPr>
        <w:t>También podemos ver en otros datos como en la esperanza de vida como también los países han convergido, pasando de 41 años en 1960 para el 50% de los países más pobres a 64 años en el 2000, y de 65 años en 1960 para el 50% de los países más ricos a 74 años en el 2000.</w:t>
      </w:r>
    </w:p>
    <w:p w:rsidR="00F81FD5" w:rsidRPr="00F81FD5" w:rsidRDefault="00F81FD5" w:rsidP="00F81FD5">
      <w:pPr>
        <w:rPr>
          <w:rFonts w:cs="Times New Roman"/>
          <w:sz w:val="24"/>
          <w:szCs w:val="24"/>
        </w:rPr>
      </w:pPr>
    </w:p>
    <w:p w:rsidR="00AE3D82" w:rsidRDefault="00AE3D82" w:rsidP="006D4703">
      <w:pPr>
        <w:rPr>
          <w:rFonts w:cs="Times New Roman"/>
          <w:sz w:val="24"/>
          <w:szCs w:val="24"/>
        </w:rPr>
      </w:pPr>
      <w:r w:rsidRPr="00DD0B0C">
        <w:rPr>
          <w:rFonts w:cs="Times New Roman"/>
          <w:b/>
          <w:sz w:val="24"/>
          <w:szCs w:val="24"/>
        </w:rPr>
        <w:t xml:space="preserve">13. Exponga los principios del Tratado de </w:t>
      </w:r>
      <w:r w:rsidR="00231E29" w:rsidRPr="00DD0B0C">
        <w:rPr>
          <w:rFonts w:cs="Times New Roman"/>
          <w:b/>
          <w:sz w:val="24"/>
          <w:szCs w:val="24"/>
        </w:rPr>
        <w:t>Maastricht</w:t>
      </w:r>
      <w:r w:rsidRPr="00DD0B0C">
        <w:rPr>
          <w:rFonts w:cs="Times New Roman"/>
          <w:b/>
          <w:sz w:val="24"/>
          <w:szCs w:val="24"/>
        </w:rPr>
        <w:t xml:space="preserve"> y sus consecuencias para las políticas económicas de los estados europeos (Camps, pp. </w:t>
      </w:r>
      <w:r w:rsidR="004B7529" w:rsidRPr="00DD0B0C">
        <w:rPr>
          <w:rFonts w:cs="Times New Roman"/>
          <w:b/>
          <w:sz w:val="24"/>
          <w:szCs w:val="24"/>
        </w:rPr>
        <w:t>134-136).</w:t>
      </w:r>
    </w:p>
    <w:p w:rsidR="00231E29" w:rsidRPr="00231E29" w:rsidRDefault="00231E29" w:rsidP="00231E29">
      <w:pPr>
        <w:rPr>
          <w:rFonts w:cs="Times New Roman"/>
          <w:sz w:val="24"/>
          <w:szCs w:val="24"/>
        </w:rPr>
      </w:pPr>
      <w:r w:rsidRPr="00231E29">
        <w:rPr>
          <w:rFonts w:cs="Times New Roman"/>
          <w:sz w:val="24"/>
          <w:szCs w:val="24"/>
        </w:rPr>
        <w:t>Los tratados de Maastricht fueron un paso previo a la formación de una moneda única en 1992 para los países europeos. Las precondiciones para los países comunitarios para firmar el tratado era que sus bancos centrales fuesen independientes de sus respectivos gobiernos. Otras precondiciones macroeconómicas eran que debían cumplir con los criterios de convergencia: niveles aceptables de inflación, tasas de interés bajas, tipos de cambio con pocas fluctuaciones y control de la deuda pública y del déficit presupuestario. Maastricht abría así el camino de la unión monetaria, pero esto traía fuertes implicaciones para la hegemonía de los respectivos países a la hora de desarrollar políticas fiscales y monetarias de acuerdo con su situación económica.</w:t>
      </w:r>
    </w:p>
    <w:p w:rsidR="00231E29" w:rsidRDefault="00231E29" w:rsidP="00231E29">
      <w:pPr>
        <w:rPr>
          <w:rFonts w:cs="Times New Roman"/>
          <w:sz w:val="24"/>
          <w:szCs w:val="24"/>
        </w:rPr>
      </w:pPr>
      <w:r w:rsidRPr="00231E29">
        <w:rPr>
          <w:rFonts w:cs="Times New Roman"/>
          <w:sz w:val="24"/>
          <w:szCs w:val="24"/>
        </w:rPr>
        <w:lastRenderedPageBreak/>
        <w:t>La liberalización económica necesaria para crear un mercado único de bienes, servicios y factores productivos se produjo en un contexto de prosperidad, sin embargo, los años noventa son de crecimiento limitado y crece el paro. Debido al tratado de Maastricht, los gobiernos no pueden aplicar políticas monetarias y fiscales expansivas para combatir esta situación, y esto ha derivado en la perdida de oportunidad para los países con mayor crisis de ganar mercados exteriores devaluando la moneda, política comúnmente usada por España, Portugal, Italia y Grecia antes de la unión monetaria.</w:t>
      </w:r>
    </w:p>
    <w:p w:rsidR="00231E29" w:rsidRPr="00231E29" w:rsidRDefault="00231E29" w:rsidP="006D4703">
      <w:pPr>
        <w:rPr>
          <w:rFonts w:cs="Times New Roman"/>
          <w:sz w:val="24"/>
          <w:szCs w:val="24"/>
        </w:rPr>
      </w:pPr>
    </w:p>
    <w:p w:rsidR="004B7529" w:rsidRPr="00DD0B0C" w:rsidRDefault="004B7529" w:rsidP="006D4703">
      <w:pPr>
        <w:rPr>
          <w:rFonts w:cs="Times New Roman"/>
          <w:b/>
          <w:sz w:val="24"/>
          <w:szCs w:val="24"/>
        </w:rPr>
      </w:pPr>
      <w:r w:rsidRPr="00DD0B0C">
        <w:rPr>
          <w:rFonts w:cs="Times New Roman"/>
          <w:b/>
          <w:sz w:val="24"/>
          <w:szCs w:val="24"/>
        </w:rPr>
        <w:t>14. Trate de justificar si son ciertas las preocupaciones de las Naciones Unidas sobre la sobrepoblación de la tierra (Camps, pp. 143-151).</w:t>
      </w:r>
    </w:p>
    <w:p w:rsidR="00AE3D82" w:rsidRPr="006D4703" w:rsidRDefault="00231E29" w:rsidP="006D4703">
      <w:pPr>
        <w:rPr>
          <w:rFonts w:cs="Times New Roman"/>
          <w:sz w:val="24"/>
          <w:szCs w:val="24"/>
        </w:rPr>
      </w:pPr>
      <w:r w:rsidRPr="00231E29">
        <w:rPr>
          <w:rFonts w:cs="Times New Roman"/>
          <w:sz w:val="24"/>
          <w:szCs w:val="24"/>
        </w:rPr>
        <w:t>África sigue siendo el continente donde las tasas de fecundidad son aun elevadas. Los elevados niveles de fecundidad en los países pobres del África subsahariana siguen preocupando a las Naciones Unidas. A pesar de su tendencia a disminuir, las actuales tasas netas de reproducción indican que en este grupo de países la población se puede doblar cada 30 años. De acuerdo con las mismas fuentes de información, si todos los países del mundo, incluyendo los del África subsahariana, alcanzan niveles de fecundidad próximos al reemplazo, en 2050 la población mundial alcanzaría una cota máxima de 9.1 mil millones de personas. Hay acuerdo por parte de la mayor parte de autoridades económicas y demográficas de que este umbral no debería superarse. Por lo tanto, y en opinión de los planificadores en demografía, se debería intentar mantener niveles de fecundidad próximos al reemplazo o inferiores para no amenazar la estabilidad económica del planeta.</w:t>
      </w:r>
    </w:p>
    <w:p w:rsidR="00950025" w:rsidRPr="00DD0B0C" w:rsidRDefault="00950025" w:rsidP="006D4703">
      <w:pPr>
        <w:rPr>
          <w:b/>
          <w:sz w:val="24"/>
          <w:szCs w:val="24"/>
        </w:rPr>
      </w:pPr>
    </w:p>
    <w:sectPr w:rsidR="00950025" w:rsidRPr="00DD0B0C">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128" w:rsidRDefault="002B2128" w:rsidP="006D4703">
      <w:pPr>
        <w:spacing w:after="0" w:line="240" w:lineRule="auto"/>
      </w:pPr>
      <w:r>
        <w:separator/>
      </w:r>
    </w:p>
  </w:endnote>
  <w:endnote w:type="continuationSeparator" w:id="0">
    <w:p w:rsidR="002B2128" w:rsidRDefault="002B2128" w:rsidP="006D47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5784513"/>
      <w:docPartObj>
        <w:docPartGallery w:val="Page Numbers (Bottom of Page)"/>
        <w:docPartUnique/>
      </w:docPartObj>
    </w:sdtPr>
    <w:sdtEndPr/>
    <w:sdtContent>
      <w:p w:rsidR="006D4703" w:rsidRDefault="006D4703">
        <w:pPr>
          <w:pStyle w:val="Piedepgina"/>
          <w:jc w:val="center"/>
        </w:pPr>
        <w:r>
          <w:fldChar w:fldCharType="begin"/>
        </w:r>
        <w:r>
          <w:instrText>PAGE   \* MERGEFORMAT</w:instrText>
        </w:r>
        <w:r>
          <w:fldChar w:fldCharType="separate"/>
        </w:r>
        <w:r w:rsidR="00B723EA">
          <w:rPr>
            <w:noProof/>
          </w:rPr>
          <w:t>1</w:t>
        </w:r>
        <w:r>
          <w:fldChar w:fldCharType="end"/>
        </w:r>
      </w:p>
    </w:sdtContent>
  </w:sdt>
  <w:p w:rsidR="006D4703" w:rsidRDefault="006D470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128" w:rsidRDefault="002B2128" w:rsidP="006D4703">
      <w:pPr>
        <w:spacing w:after="0" w:line="240" w:lineRule="auto"/>
      </w:pPr>
      <w:r>
        <w:separator/>
      </w:r>
    </w:p>
  </w:footnote>
  <w:footnote w:type="continuationSeparator" w:id="0">
    <w:p w:rsidR="002B2128" w:rsidRDefault="002B2128" w:rsidP="006D47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BB51CD"/>
    <w:multiLevelType w:val="hybridMultilevel"/>
    <w:tmpl w:val="C0A28F76"/>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
    <w:nsid w:val="7F402001"/>
    <w:multiLevelType w:val="hybridMultilevel"/>
    <w:tmpl w:val="0BBC811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796"/>
    <w:rsid w:val="00007A55"/>
    <w:rsid w:val="000536F0"/>
    <w:rsid w:val="000D4043"/>
    <w:rsid w:val="0017115E"/>
    <w:rsid w:val="001C6256"/>
    <w:rsid w:val="001E3D16"/>
    <w:rsid w:val="00231E29"/>
    <w:rsid w:val="00294B5B"/>
    <w:rsid w:val="002975DB"/>
    <w:rsid w:val="002B08AF"/>
    <w:rsid w:val="002B2128"/>
    <w:rsid w:val="00306DB5"/>
    <w:rsid w:val="00330796"/>
    <w:rsid w:val="00332660"/>
    <w:rsid w:val="00347006"/>
    <w:rsid w:val="003803E3"/>
    <w:rsid w:val="0038469A"/>
    <w:rsid w:val="00395412"/>
    <w:rsid w:val="00414665"/>
    <w:rsid w:val="004B7529"/>
    <w:rsid w:val="004E137E"/>
    <w:rsid w:val="0050562F"/>
    <w:rsid w:val="005B3DFC"/>
    <w:rsid w:val="005C6411"/>
    <w:rsid w:val="005D157D"/>
    <w:rsid w:val="006773FB"/>
    <w:rsid w:val="006A32B5"/>
    <w:rsid w:val="006D4679"/>
    <w:rsid w:val="006D4703"/>
    <w:rsid w:val="00735309"/>
    <w:rsid w:val="00766CAC"/>
    <w:rsid w:val="00780F8D"/>
    <w:rsid w:val="007A2697"/>
    <w:rsid w:val="00810D38"/>
    <w:rsid w:val="00890EFB"/>
    <w:rsid w:val="008C2C97"/>
    <w:rsid w:val="008D313C"/>
    <w:rsid w:val="009460E2"/>
    <w:rsid w:val="00946FBC"/>
    <w:rsid w:val="00950025"/>
    <w:rsid w:val="009D24C9"/>
    <w:rsid w:val="00A008CE"/>
    <w:rsid w:val="00A5413D"/>
    <w:rsid w:val="00A9262B"/>
    <w:rsid w:val="00AA61AF"/>
    <w:rsid w:val="00AE3D82"/>
    <w:rsid w:val="00B11190"/>
    <w:rsid w:val="00B723EA"/>
    <w:rsid w:val="00C04D1F"/>
    <w:rsid w:val="00C23D99"/>
    <w:rsid w:val="00C5410F"/>
    <w:rsid w:val="00CB5563"/>
    <w:rsid w:val="00D15A2F"/>
    <w:rsid w:val="00D63F3C"/>
    <w:rsid w:val="00DD0B0C"/>
    <w:rsid w:val="00E677E0"/>
    <w:rsid w:val="00E92A0B"/>
    <w:rsid w:val="00F81FD5"/>
    <w:rsid w:val="00FE2824"/>
    <w:rsid w:val="00FF0E57"/>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079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E3D16"/>
    <w:pPr>
      <w:ind w:left="720"/>
      <w:contextualSpacing/>
    </w:pPr>
  </w:style>
  <w:style w:type="paragraph" w:styleId="Encabezado">
    <w:name w:val="header"/>
    <w:basedOn w:val="Normal"/>
    <w:link w:val="EncabezadoCar"/>
    <w:uiPriority w:val="99"/>
    <w:unhideWhenUsed/>
    <w:rsid w:val="006D470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D4703"/>
  </w:style>
  <w:style w:type="paragraph" w:styleId="Piedepgina">
    <w:name w:val="footer"/>
    <w:basedOn w:val="Normal"/>
    <w:link w:val="PiedepginaCar"/>
    <w:uiPriority w:val="99"/>
    <w:unhideWhenUsed/>
    <w:rsid w:val="006D470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D47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079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E3D16"/>
    <w:pPr>
      <w:ind w:left="720"/>
      <w:contextualSpacing/>
    </w:pPr>
  </w:style>
  <w:style w:type="paragraph" w:styleId="Encabezado">
    <w:name w:val="header"/>
    <w:basedOn w:val="Normal"/>
    <w:link w:val="EncabezadoCar"/>
    <w:uiPriority w:val="99"/>
    <w:unhideWhenUsed/>
    <w:rsid w:val="006D470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D4703"/>
  </w:style>
  <w:style w:type="paragraph" w:styleId="Piedepgina">
    <w:name w:val="footer"/>
    <w:basedOn w:val="Normal"/>
    <w:link w:val="PiedepginaCar"/>
    <w:uiPriority w:val="99"/>
    <w:unhideWhenUsed/>
    <w:rsid w:val="006D470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D4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1296</TotalTime>
  <Pages>8</Pages>
  <Words>3019</Words>
  <Characters>16607</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ULPGC</Company>
  <LinksUpToDate>false</LinksUpToDate>
  <CharactersWithSpaces>19587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Jaime</cp:lastModifiedBy>
  <cp:revision>54</cp:revision>
  <dcterms:created xsi:type="dcterms:W3CDTF">2015-01-11T16:49:00Z</dcterms:created>
  <dcterms:modified xsi:type="dcterms:W3CDTF">2015-01-17T22:34:00Z</dcterms:modified>
</cp:coreProperties>
</file>