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32773F" w14:textId="3771677F" w:rsidR="007D65FB" w:rsidRPr="00310C31" w:rsidRDefault="00CE19A8" w:rsidP="009F4197">
      <w:pPr>
        <w:rPr>
          <w:rFonts w:cs="Times New Roman"/>
          <w:b/>
          <w:sz w:val="24"/>
          <w:szCs w:val="24"/>
        </w:rPr>
      </w:pPr>
      <w:r>
        <w:rPr>
          <w:rFonts w:cs="Times New Roman"/>
          <w:b/>
          <w:sz w:val="24"/>
          <w:szCs w:val="24"/>
        </w:rPr>
        <w:t>E</w:t>
      </w:r>
      <w:bookmarkStart w:id="0" w:name="_GoBack"/>
      <w:bookmarkEnd w:id="0"/>
      <w:r w:rsidR="007D65FB" w:rsidRPr="00310C31">
        <w:rPr>
          <w:rFonts w:cs="Times New Roman"/>
          <w:b/>
          <w:sz w:val="24"/>
          <w:szCs w:val="24"/>
        </w:rPr>
        <w:t xml:space="preserve">JERCICIOS DE AUTOEVALUACIÓN DE LA ASIGNATURA DE HISTORIA ECONÓMICA  </w:t>
      </w:r>
      <w:r w:rsidR="009C1891" w:rsidRPr="00310C31">
        <w:rPr>
          <w:rFonts w:cs="Times New Roman"/>
          <w:b/>
          <w:sz w:val="24"/>
          <w:szCs w:val="24"/>
        </w:rPr>
        <w:t>2014-15-</w:t>
      </w:r>
      <w:r w:rsidR="007D65FB" w:rsidRPr="00310C31">
        <w:rPr>
          <w:rFonts w:cs="Times New Roman"/>
          <w:b/>
          <w:sz w:val="24"/>
          <w:szCs w:val="24"/>
        </w:rPr>
        <w:t>3</w:t>
      </w:r>
    </w:p>
    <w:p w14:paraId="5F15880C" w14:textId="77777777" w:rsidR="00BB0723" w:rsidRPr="00310C31" w:rsidRDefault="00BB0723" w:rsidP="009F4197">
      <w:pPr>
        <w:rPr>
          <w:rFonts w:cs="Times New Roman"/>
          <w:b/>
          <w:bCs/>
          <w:sz w:val="24"/>
          <w:szCs w:val="24"/>
          <w:lang w:val="es-ES_tradnl"/>
        </w:rPr>
      </w:pPr>
      <w:r w:rsidRPr="00310C31">
        <w:rPr>
          <w:rFonts w:cs="Times New Roman"/>
          <w:b/>
          <w:sz w:val="24"/>
          <w:szCs w:val="24"/>
        </w:rPr>
        <w:t xml:space="preserve">Pueden contestarse con la lectura de los capítulos 7 y 8 del libro Juan HERNÁNDEZ ANDREU y con la de los capítulos </w:t>
      </w:r>
      <w:r w:rsidRPr="00310C31">
        <w:rPr>
          <w:rFonts w:cs="Times New Roman"/>
          <w:b/>
          <w:bCs/>
          <w:sz w:val="24"/>
          <w:szCs w:val="24"/>
          <w:lang w:val="es-ES_tradnl"/>
        </w:rPr>
        <w:t>7 (La Primera Guerra Mundial), 8 (Crisis económica y el retroceso de la globalización en el período de entreguerras) y 9 (La Segunda Guerra Mundial) de E. Camps.</w:t>
      </w:r>
    </w:p>
    <w:p w14:paraId="6128A708" w14:textId="77777777" w:rsidR="00310C31" w:rsidRPr="00310C31" w:rsidRDefault="00310C31" w:rsidP="009F4197">
      <w:pPr>
        <w:rPr>
          <w:rFonts w:cs="Times New Roman"/>
          <w:bCs/>
          <w:sz w:val="24"/>
          <w:szCs w:val="24"/>
          <w:lang w:val="es-ES_tradnl"/>
        </w:rPr>
      </w:pPr>
    </w:p>
    <w:p w14:paraId="58111E3B" w14:textId="77777777" w:rsidR="00730ED6" w:rsidRPr="00310C31" w:rsidRDefault="00730ED6" w:rsidP="009F4197">
      <w:pPr>
        <w:rPr>
          <w:rFonts w:cs="Times New Roman"/>
          <w:b/>
          <w:sz w:val="24"/>
          <w:szCs w:val="24"/>
        </w:rPr>
      </w:pPr>
      <w:r w:rsidRPr="00310C31">
        <w:rPr>
          <w:rFonts w:cs="Times New Roman"/>
          <w:b/>
          <w:sz w:val="24"/>
          <w:szCs w:val="24"/>
        </w:rPr>
        <w:t>1. ¿Qué argumentos pueden utilizarse estudiando el período de entreguerras mundiales (1914-1945) para señalar que una Tercera Guerra Mundial es un escenario futuro nada desdeñable? [Para contestar a esta pregunta debes haber realizado una lectura comprensiva del cap. 7 de Hernández Andreu (pp. 177-190) señalando los principales errores cometidos en las décadas de 1920 y 1930 que condujeron a la 2ª Guerra Mundial.</w:t>
      </w:r>
      <w:r w:rsidR="00CE1E8C" w:rsidRPr="00310C31">
        <w:rPr>
          <w:rFonts w:cs="Times New Roman"/>
          <w:b/>
          <w:sz w:val="24"/>
          <w:szCs w:val="24"/>
        </w:rPr>
        <w:t xml:space="preserve"> </w:t>
      </w:r>
      <w:r w:rsidRPr="00310C31">
        <w:rPr>
          <w:rFonts w:cs="Times New Roman"/>
          <w:b/>
          <w:sz w:val="24"/>
          <w:szCs w:val="24"/>
        </w:rPr>
        <w:t>Para tener más argumentos reflexiona sobre el artículo 231 del Tratado de Versalles ( Hernández Andreu, p. 191)]</w:t>
      </w:r>
    </w:p>
    <w:p w14:paraId="7A441E87" w14:textId="01BD6CC2" w:rsidR="00BB0418" w:rsidRPr="00BB0418" w:rsidRDefault="00BB0418" w:rsidP="00BB0418">
      <w:pPr>
        <w:rPr>
          <w:rFonts w:cs="Times New Roman"/>
          <w:sz w:val="24"/>
          <w:szCs w:val="24"/>
        </w:rPr>
      </w:pPr>
      <w:r w:rsidRPr="00BB0418">
        <w:rPr>
          <w:rFonts w:cs="Times New Roman"/>
          <w:sz w:val="24"/>
          <w:szCs w:val="24"/>
        </w:rPr>
        <w:t>Algunos errores cometidos en el decenio de los años 20 y 30 pueden traer a una Tercera guerra mundial, los más importantes que hicieron posible l</w:t>
      </w:r>
      <w:r>
        <w:rPr>
          <w:rFonts w:cs="Times New Roman"/>
          <w:sz w:val="24"/>
          <w:szCs w:val="24"/>
        </w:rPr>
        <w:t>a segunda guerra mundial fueron</w:t>
      </w:r>
      <w:r w:rsidRPr="00BB0418">
        <w:rPr>
          <w:rFonts w:cs="Times New Roman"/>
          <w:sz w:val="24"/>
          <w:szCs w:val="24"/>
        </w:rPr>
        <w:t>: el Tratado de Versailles, el nacimiento de nuevos estados totalitarios de izquierda y derecha y la crisis económica y financiera de los años 30 (Gran depresión).</w:t>
      </w:r>
    </w:p>
    <w:p w14:paraId="225422F9" w14:textId="77EDA56B" w:rsidR="00BB0418" w:rsidRPr="00BB0418" w:rsidRDefault="00BB0418" w:rsidP="00BB0418">
      <w:pPr>
        <w:rPr>
          <w:rFonts w:cs="Times New Roman"/>
          <w:sz w:val="24"/>
          <w:szCs w:val="24"/>
        </w:rPr>
      </w:pPr>
      <w:r w:rsidRPr="00BB0418">
        <w:rPr>
          <w:rFonts w:cs="Times New Roman"/>
          <w:sz w:val="24"/>
          <w:szCs w:val="24"/>
        </w:rPr>
        <w:t>El tratado de Versailles es un tratado mediante el cual, los Aliados, después de la Primera Guerra Mundial, hicieron aceptar a Alemania el pago de todos los daños cometidos durante la guerra a los Aliados y las potencias asociadas. Pero Alemania no tenía suficientes recursos para poder mantener esta promesa y poder devolver las perdidas y daños ocasionados. Este tratado con requisitos imposibles de alcanzar para el estado Alemán destruyo por completo su economía, dejándola inestable y sufriendo una hiperinflación, factores que permitieron el alzamiento del partido nazi y el sentimiento de venganza hacia los Aliados.</w:t>
      </w:r>
    </w:p>
    <w:p w14:paraId="10CE5C96" w14:textId="77777777" w:rsidR="00BB0418" w:rsidRPr="00BB0418" w:rsidRDefault="00BB0418" w:rsidP="00BB0418">
      <w:pPr>
        <w:rPr>
          <w:rFonts w:cs="Times New Roman"/>
          <w:sz w:val="24"/>
          <w:szCs w:val="24"/>
        </w:rPr>
      </w:pPr>
      <w:r w:rsidRPr="00BB0418">
        <w:rPr>
          <w:rFonts w:cs="Times New Roman"/>
          <w:sz w:val="24"/>
          <w:szCs w:val="24"/>
        </w:rPr>
        <w:t xml:space="preserve">Al igual que en Alemania, la inestabilidad económica y social que trajo la Primera Guerra Mundial permitió el alzamiento en Italia de la dictadura fascista de Mussolini en 1922 y en Rusia del partido comunista, empezando con Lenin en la revolución de octubre y después dirigida por Stalin. </w:t>
      </w:r>
    </w:p>
    <w:p w14:paraId="57C2ADD3" w14:textId="77777777" w:rsidR="00BB0418" w:rsidRPr="00BB0418" w:rsidRDefault="00BB0418" w:rsidP="00BB0418">
      <w:pPr>
        <w:rPr>
          <w:rFonts w:cs="Times New Roman"/>
          <w:sz w:val="24"/>
          <w:szCs w:val="24"/>
        </w:rPr>
      </w:pPr>
      <w:r w:rsidRPr="00BB0418">
        <w:rPr>
          <w:rFonts w:cs="Times New Roman"/>
          <w:sz w:val="24"/>
          <w:szCs w:val="24"/>
        </w:rPr>
        <w:t>La creación de estos nuevos estados rompió el equilibrio político entre los países, y esto facilito el comienzo de la Segunda Guerra Mundial.</w:t>
      </w:r>
    </w:p>
    <w:p w14:paraId="62934E7E" w14:textId="77777777" w:rsidR="00BB0418" w:rsidRPr="00BB0418" w:rsidRDefault="00BB0418" w:rsidP="00BB0418">
      <w:pPr>
        <w:rPr>
          <w:rFonts w:cs="Times New Roman"/>
          <w:sz w:val="24"/>
          <w:szCs w:val="24"/>
        </w:rPr>
      </w:pPr>
      <w:r w:rsidRPr="00BB0418">
        <w:rPr>
          <w:rFonts w:cs="Times New Roman"/>
          <w:sz w:val="24"/>
          <w:szCs w:val="24"/>
        </w:rPr>
        <w:t>Otro factor fundamental que ocasiono la guerra fue el deterioro del clima económico mundial debido a la Gran Depresión de los años 30, que fue una crisis financiera originada en el crac de la bolsa de New York en octubre de 1929.</w:t>
      </w:r>
    </w:p>
    <w:p w14:paraId="5A52A222" w14:textId="1601E1CF" w:rsidR="008A5C0A" w:rsidRDefault="00BB0418" w:rsidP="00BB0418">
      <w:pPr>
        <w:rPr>
          <w:rFonts w:cs="Times New Roman"/>
          <w:sz w:val="24"/>
          <w:szCs w:val="24"/>
        </w:rPr>
      </w:pPr>
      <w:r w:rsidRPr="00BB0418">
        <w:rPr>
          <w:rFonts w:cs="Times New Roman"/>
          <w:sz w:val="24"/>
          <w:szCs w:val="24"/>
        </w:rPr>
        <w:lastRenderedPageBreak/>
        <w:t>Estos errores cometidos en el periodo de entre guerra originaron la Segunda Guerra Mundial, pero como podemos ver en la historia, el mundo estuvo al borde de una tercera guerra mundial debido a las tensiones que se originaron por la Guerra Fría entre EEUU y la URSS, así como posibles nuevos escenarios que vivimos en nuestros días con una crisis financiera parecida al crac del 29 (Crisis del 2007) y la proliferación de partidos extremistas en países europeos.</w:t>
      </w:r>
    </w:p>
    <w:p w14:paraId="06AB032E" w14:textId="77777777" w:rsidR="00BB0418" w:rsidRPr="00310C31" w:rsidRDefault="00BB0418" w:rsidP="00BB0418">
      <w:pPr>
        <w:rPr>
          <w:rFonts w:cs="Times New Roman"/>
          <w:b/>
          <w:sz w:val="24"/>
          <w:szCs w:val="24"/>
        </w:rPr>
      </w:pPr>
    </w:p>
    <w:p w14:paraId="2F22D33C" w14:textId="77777777" w:rsidR="00730ED6" w:rsidRPr="00310C31" w:rsidRDefault="007743E9" w:rsidP="009F4197">
      <w:pPr>
        <w:rPr>
          <w:rFonts w:cs="Times New Roman"/>
          <w:b/>
          <w:sz w:val="24"/>
          <w:szCs w:val="24"/>
        </w:rPr>
      </w:pPr>
      <w:r w:rsidRPr="00310C31">
        <w:rPr>
          <w:rFonts w:cs="Times New Roman"/>
          <w:b/>
          <w:sz w:val="24"/>
          <w:szCs w:val="24"/>
        </w:rPr>
        <w:t>2</w:t>
      </w:r>
      <w:r w:rsidR="00730ED6" w:rsidRPr="00310C31">
        <w:rPr>
          <w:rFonts w:cs="Times New Roman"/>
          <w:b/>
          <w:sz w:val="24"/>
          <w:szCs w:val="24"/>
        </w:rPr>
        <w:t>. Explica brevemente los siguientes conceptos y acontecimientos históricos (</w:t>
      </w:r>
      <w:r w:rsidRPr="00310C31">
        <w:rPr>
          <w:rFonts w:cs="Times New Roman"/>
          <w:b/>
          <w:sz w:val="24"/>
          <w:szCs w:val="24"/>
        </w:rPr>
        <w:t xml:space="preserve"> Hernández Andreu, </w:t>
      </w:r>
      <w:r w:rsidR="00730ED6" w:rsidRPr="00310C31">
        <w:rPr>
          <w:rFonts w:cs="Times New Roman"/>
          <w:b/>
          <w:sz w:val="24"/>
          <w:szCs w:val="24"/>
        </w:rPr>
        <w:t>pp. 180-183): Industrialización rusa (1880-1914); Revolución de 1905; Revolución de 1917; Tercera Internacional; Comunismo de Guerra; URSS.</w:t>
      </w:r>
    </w:p>
    <w:p w14:paraId="660E7950" w14:textId="77777777" w:rsidR="008A5C0A" w:rsidRPr="00310C31" w:rsidRDefault="008A5C0A" w:rsidP="009F4197">
      <w:pPr>
        <w:rPr>
          <w:rFonts w:cs="Times New Roman"/>
          <w:b/>
          <w:sz w:val="24"/>
          <w:szCs w:val="24"/>
          <w:u w:val="single"/>
        </w:rPr>
      </w:pPr>
      <w:r w:rsidRPr="00310C31">
        <w:rPr>
          <w:rFonts w:cs="Times New Roman"/>
          <w:b/>
          <w:sz w:val="24"/>
          <w:szCs w:val="24"/>
          <w:u w:val="single"/>
        </w:rPr>
        <w:t xml:space="preserve">Industrialización rusa (1880-1914): </w:t>
      </w:r>
    </w:p>
    <w:p w14:paraId="5450EE11" w14:textId="77777777" w:rsidR="008A5C0A" w:rsidRPr="00310C31" w:rsidRDefault="008A5C0A" w:rsidP="009F4197">
      <w:pPr>
        <w:rPr>
          <w:rFonts w:cs="Times New Roman"/>
          <w:sz w:val="24"/>
          <w:szCs w:val="24"/>
        </w:rPr>
      </w:pPr>
      <w:r w:rsidRPr="00310C31">
        <w:rPr>
          <w:rFonts w:cs="Times New Roman"/>
          <w:sz w:val="24"/>
          <w:szCs w:val="24"/>
        </w:rPr>
        <w:t xml:space="preserve">La economía rusa se vio muy favorecida por los flujos internacionales de capital que tuvieron lugar en los años finales del siglo XIX y primeros del siglo XX, durante “la primera globalización”. Quien lo hizo posible fue el conde Sergei </w:t>
      </w:r>
      <w:proofErr w:type="spellStart"/>
      <w:r w:rsidRPr="00310C31">
        <w:rPr>
          <w:rFonts w:cs="Times New Roman"/>
          <w:sz w:val="24"/>
          <w:szCs w:val="24"/>
        </w:rPr>
        <w:t>Witte</w:t>
      </w:r>
      <w:proofErr w:type="spellEnd"/>
      <w:r w:rsidRPr="00310C31">
        <w:rPr>
          <w:rFonts w:cs="Times New Roman"/>
          <w:sz w:val="24"/>
          <w:szCs w:val="24"/>
        </w:rPr>
        <w:t xml:space="preserve"> (ministro de Hacienda 1892-1903), que se preocupó por incorporar al rublo al Patrón Oro en 1897.  La industrialización de Rusia en los años de </w:t>
      </w:r>
      <w:proofErr w:type="spellStart"/>
      <w:r w:rsidRPr="00310C31">
        <w:rPr>
          <w:rFonts w:cs="Times New Roman"/>
          <w:sz w:val="24"/>
          <w:szCs w:val="24"/>
        </w:rPr>
        <w:t>Witte</w:t>
      </w:r>
      <w:proofErr w:type="spellEnd"/>
      <w:r w:rsidRPr="00310C31">
        <w:rPr>
          <w:rFonts w:cs="Times New Roman"/>
          <w:sz w:val="24"/>
          <w:szCs w:val="24"/>
        </w:rPr>
        <w:t xml:space="preserve"> fue muy rápida,  destacando los sectores relacionados con la energía (petróleo), el transporte (los ferrocarriles) y los metales. Como suele suceder al principio en los procesos de crecimiento, el aumento de la riqueza se distribuyó de forma desigual.</w:t>
      </w:r>
    </w:p>
    <w:p w14:paraId="4193CE63" w14:textId="77777777" w:rsidR="008A5C0A" w:rsidRPr="00310C31" w:rsidRDefault="008A5C0A" w:rsidP="009F4197">
      <w:pPr>
        <w:rPr>
          <w:rFonts w:cs="Times New Roman"/>
          <w:b/>
          <w:sz w:val="24"/>
          <w:szCs w:val="24"/>
          <w:u w:val="single"/>
        </w:rPr>
      </w:pPr>
      <w:r w:rsidRPr="00310C31">
        <w:rPr>
          <w:rFonts w:cs="Times New Roman"/>
          <w:b/>
          <w:sz w:val="24"/>
          <w:szCs w:val="24"/>
          <w:u w:val="single"/>
        </w:rPr>
        <w:t>Revolución de 1905:</w:t>
      </w:r>
    </w:p>
    <w:p w14:paraId="5E618B92" w14:textId="77777777" w:rsidR="008A5C0A" w:rsidRPr="00310C31" w:rsidRDefault="008A5C0A" w:rsidP="009F4197">
      <w:pPr>
        <w:rPr>
          <w:rFonts w:cs="Times New Roman"/>
          <w:sz w:val="24"/>
          <w:szCs w:val="24"/>
        </w:rPr>
      </w:pPr>
      <w:r w:rsidRPr="00310C31">
        <w:rPr>
          <w:rFonts w:cs="Times New Roman"/>
          <w:sz w:val="24"/>
          <w:szCs w:val="24"/>
        </w:rPr>
        <w:t>Debido al crecimiento desigual de la Industrialización de Rusia, se empezaron a oír voces críticas. Lo que desató la Revolución de 1905 fue el incidente en enero de 1905, donde la guardia imperial disparó sobre una multitud de protestantes del Palacio de Invierno. La Revolución demostró que las grandes movilizaciones podían acelerar las reformas políticas y sociales, dando alas a los que querían ir más allá y derrocar al régimen zarista, algo que finalmente consiguieron en 1917.</w:t>
      </w:r>
    </w:p>
    <w:p w14:paraId="760F8B32" w14:textId="77777777" w:rsidR="008A5C0A" w:rsidRPr="00310C31" w:rsidRDefault="008A5C0A" w:rsidP="009F4197">
      <w:pPr>
        <w:rPr>
          <w:rFonts w:cs="Times New Roman"/>
          <w:b/>
          <w:sz w:val="24"/>
          <w:szCs w:val="24"/>
          <w:u w:val="single"/>
        </w:rPr>
      </w:pPr>
      <w:r w:rsidRPr="00310C31">
        <w:rPr>
          <w:rFonts w:cs="Times New Roman"/>
          <w:b/>
          <w:sz w:val="24"/>
          <w:szCs w:val="24"/>
          <w:u w:val="single"/>
        </w:rPr>
        <w:t>Revolución de 1917:</w:t>
      </w:r>
    </w:p>
    <w:p w14:paraId="4D5BE83C" w14:textId="77777777" w:rsidR="008A5C0A" w:rsidRPr="00310C31" w:rsidRDefault="008A5C0A" w:rsidP="009F4197">
      <w:pPr>
        <w:rPr>
          <w:rFonts w:cs="Times New Roman"/>
          <w:sz w:val="24"/>
          <w:szCs w:val="24"/>
        </w:rPr>
      </w:pPr>
      <w:r w:rsidRPr="00310C31">
        <w:rPr>
          <w:rFonts w:cs="Times New Roman"/>
          <w:sz w:val="24"/>
          <w:szCs w:val="24"/>
        </w:rPr>
        <w:t>Acontecimientos como: 1905, Rusia perdió la Guerra Ruso-Japonesa, y en 1917, las pérdidas de vidas humanas rusas en la Primera Guerra Mundial eran terriblemente elevadas. El descredito del ejército era total y el zar (Nicolás II) se vio obligado a abdicar en marco de 1917. Fuerzas liberales y socialistas se unieron para hacer evolucionar Rusia hacia una democracia representativa.</w:t>
      </w:r>
    </w:p>
    <w:p w14:paraId="59E9355D" w14:textId="77777777" w:rsidR="008A5C0A" w:rsidRPr="00310C31" w:rsidRDefault="008A5C0A" w:rsidP="009F4197">
      <w:pPr>
        <w:rPr>
          <w:rFonts w:cs="Times New Roman"/>
          <w:b/>
          <w:sz w:val="24"/>
          <w:szCs w:val="24"/>
          <w:u w:val="single"/>
        </w:rPr>
      </w:pPr>
      <w:r w:rsidRPr="00310C31">
        <w:rPr>
          <w:rFonts w:cs="Times New Roman"/>
          <w:b/>
          <w:sz w:val="24"/>
          <w:szCs w:val="24"/>
          <w:u w:val="single"/>
        </w:rPr>
        <w:t>Tercera Internacional:</w:t>
      </w:r>
    </w:p>
    <w:p w14:paraId="62B11C61" w14:textId="77777777" w:rsidR="008A5C0A" w:rsidRPr="00310C31" w:rsidRDefault="008A5C0A" w:rsidP="009F4197">
      <w:pPr>
        <w:rPr>
          <w:rFonts w:cs="Times New Roman"/>
          <w:sz w:val="24"/>
          <w:szCs w:val="24"/>
        </w:rPr>
      </w:pPr>
      <w:r w:rsidRPr="00310C31">
        <w:rPr>
          <w:rFonts w:cs="Times New Roman"/>
          <w:sz w:val="24"/>
          <w:szCs w:val="24"/>
        </w:rPr>
        <w:t xml:space="preserve">La Tercera Internacional o Komintern fue una organización comunista internacional, fundada en marzo de 1919, por iniciativa de Lenin y el Partido Comunista de Rusia </w:t>
      </w:r>
      <w:r w:rsidRPr="00310C31">
        <w:rPr>
          <w:rFonts w:cs="Times New Roman"/>
          <w:sz w:val="24"/>
          <w:szCs w:val="24"/>
        </w:rPr>
        <w:lastRenderedPageBreak/>
        <w:t>(Bolchevique), que agrupaba a los partidos comunistas de distintos países, y cuyo objetivo era luchar por la supresión del sistema capitalista, el establecimiento de la dictadura del proletariado y de la República Internacional de los Soviets.</w:t>
      </w:r>
    </w:p>
    <w:p w14:paraId="2C3E0C96" w14:textId="77777777" w:rsidR="008A5C0A" w:rsidRPr="00310C31" w:rsidRDefault="008A5C0A" w:rsidP="009F4197">
      <w:pPr>
        <w:rPr>
          <w:rFonts w:cs="Times New Roman"/>
          <w:b/>
          <w:sz w:val="24"/>
          <w:szCs w:val="24"/>
          <w:u w:val="single"/>
        </w:rPr>
      </w:pPr>
      <w:r w:rsidRPr="00310C31">
        <w:rPr>
          <w:rFonts w:cs="Times New Roman"/>
          <w:b/>
          <w:sz w:val="24"/>
          <w:szCs w:val="24"/>
          <w:u w:val="single"/>
        </w:rPr>
        <w:t>Comunismo de Guerra:</w:t>
      </w:r>
    </w:p>
    <w:p w14:paraId="6375B0C7" w14:textId="77777777" w:rsidR="008A5C0A" w:rsidRPr="00310C31" w:rsidRDefault="008A5C0A" w:rsidP="009F4197">
      <w:pPr>
        <w:rPr>
          <w:rFonts w:cs="Times New Roman"/>
          <w:sz w:val="24"/>
          <w:szCs w:val="24"/>
        </w:rPr>
      </w:pPr>
      <w:r w:rsidRPr="00310C31">
        <w:rPr>
          <w:rFonts w:cs="Times New Roman"/>
          <w:sz w:val="24"/>
          <w:szCs w:val="24"/>
        </w:rPr>
        <w:t>Fue el sistema económico y político que existió en Rusia durante la Guerra Civil Rusa, entre 1917 y 1919, y fue adoptada por los bolcheviques con el objetivo de mantener a las ciudades y al Ejército Rojo abastecidos de armas y alimentos, en condiciones en las que cualquier tipo de relaciones o mecanismos políticos normales serían destruidos por la guerra.</w:t>
      </w:r>
    </w:p>
    <w:p w14:paraId="1E7C3BF5" w14:textId="77777777" w:rsidR="008A5C0A" w:rsidRPr="00310C31" w:rsidRDefault="008A5C0A" w:rsidP="009F4197">
      <w:pPr>
        <w:rPr>
          <w:rFonts w:cs="Times New Roman"/>
          <w:sz w:val="24"/>
          <w:szCs w:val="24"/>
          <w:u w:val="single"/>
        </w:rPr>
      </w:pPr>
      <w:r w:rsidRPr="00310C31">
        <w:rPr>
          <w:rFonts w:cs="Times New Roman"/>
          <w:b/>
          <w:sz w:val="24"/>
          <w:szCs w:val="24"/>
          <w:u w:val="single"/>
        </w:rPr>
        <w:t>URSS: (Unión de Repúblicas Socialistas Soviéticas).</w:t>
      </w:r>
      <w:r w:rsidRPr="00310C31">
        <w:rPr>
          <w:rFonts w:cs="Times New Roman"/>
          <w:sz w:val="24"/>
          <w:szCs w:val="24"/>
          <w:u w:val="single"/>
        </w:rPr>
        <w:t xml:space="preserve"> </w:t>
      </w:r>
    </w:p>
    <w:p w14:paraId="1F14F67B" w14:textId="77777777" w:rsidR="008A5C0A" w:rsidRPr="00310C31" w:rsidRDefault="008A5C0A" w:rsidP="009F4197">
      <w:pPr>
        <w:rPr>
          <w:rFonts w:cs="Times New Roman"/>
          <w:sz w:val="24"/>
          <w:szCs w:val="24"/>
        </w:rPr>
      </w:pPr>
      <w:r w:rsidRPr="00310C31">
        <w:rPr>
          <w:rFonts w:cs="Times New Roman"/>
          <w:sz w:val="24"/>
          <w:szCs w:val="24"/>
        </w:rPr>
        <w:t xml:space="preserve">La Unión Soviética tuvo un sistema político de partido único dominado por el Partido Comunista hasta 19906 y aunque era una unión federal de 15 repúblicas soviéticas </w:t>
      </w:r>
      <w:proofErr w:type="spellStart"/>
      <w:r w:rsidRPr="00310C31">
        <w:rPr>
          <w:rFonts w:cs="Times New Roman"/>
          <w:sz w:val="24"/>
          <w:szCs w:val="24"/>
        </w:rPr>
        <w:t>subnacionales</w:t>
      </w:r>
      <w:proofErr w:type="spellEnd"/>
      <w:r w:rsidRPr="00310C31">
        <w:rPr>
          <w:rFonts w:cs="Times New Roman"/>
          <w:sz w:val="24"/>
          <w:szCs w:val="24"/>
        </w:rPr>
        <w:t>, el Estado soviético fue estructurado bajo un Gobierno nacional y una economía altamente centralizados.</w:t>
      </w:r>
    </w:p>
    <w:p w14:paraId="0E98F5D2" w14:textId="77777777" w:rsidR="00310C31" w:rsidRPr="00310C31" w:rsidRDefault="00310C31" w:rsidP="009F4197">
      <w:pPr>
        <w:rPr>
          <w:rFonts w:cs="Times New Roman"/>
          <w:b/>
          <w:sz w:val="24"/>
          <w:szCs w:val="24"/>
        </w:rPr>
      </w:pPr>
    </w:p>
    <w:p w14:paraId="0240834F" w14:textId="77777777" w:rsidR="00730ED6" w:rsidRPr="00310C31" w:rsidRDefault="007743E9" w:rsidP="009F4197">
      <w:pPr>
        <w:rPr>
          <w:rFonts w:cs="Times New Roman"/>
          <w:b/>
          <w:sz w:val="24"/>
          <w:szCs w:val="24"/>
        </w:rPr>
      </w:pPr>
      <w:r w:rsidRPr="00310C31">
        <w:rPr>
          <w:rFonts w:cs="Times New Roman"/>
          <w:b/>
          <w:sz w:val="24"/>
          <w:szCs w:val="24"/>
        </w:rPr>
        <w:t>3</w:t>
      </w:r>
      <w:r w:rsidR="00730ED6" w:rsidRPr="00310C31">
        <w:rPr>
          <w:rFonts w:cs="Times New Roman"/>
          <w:b/>
          <w:sz w:val="24"/>
          <w:szCs w:val="24"/>
        </w:rPr>
        <w:t>. Después de leer atentamente el cuadro 7.1 explica porque la URSS era una gran potencia política y militar tras la Segunda Guerra Mundial (</w:t>
      </w:r>
      <w:r w:rsidRPr="00310C31">
        <w:rPr>
          <w:rFonts w:cs="Times New Roman"/>
          <w:b/>
          <w:sz w:val="24"/>
          <w:szCs w:val="24"/>
        </w:rPr>
        <w:t xml:space="preserve">Hernández Andreu, </w:t>
      </w:r>
      <w:r w:rsidR="00730ED6" w:rsidRPr="00310C31">
        <w:rPr>
          <w:rFonts w:cs="Times New Roman"/>
          <w:b/>
          <w:sz w:val="24"/>
          <w:szCs w:val="24"/>
        </w:rPr>
        <w:t xml:space="preserve">p. 191). </w:t>
      </w:r>
    </w:p>
    <w:p w14:paraId="7FFA3122" w14:textId="77777777" w:rsidR="008A5C0A" w:rsidRPr="00310C31" w:rsidRDefault="008A5C0A" w:rsidP="009F4197">
      <w:pPr>
        <w:rPr>
          <w:rFonts w:cs="Times New Roman"/>
          <w:sz w:val="24"/>
          <w:szCs w:val="24"/>
        </w:rPr>
      </w:pPr>
      <w:r w:rsidRPr="00310C31">
        <w:rPr>
          <w:rFonts w:cs="Times New Roman"/>
          <w:sz w:val="24"/>
          <w:szCs w:val="24"/>
        </w:rPr>
        <w:t>En 1945 termina la Segunda Guerra Mundial; la Unión Soviética y los Estados Unidos surgen como dos naciones con un gran poder económico y político, capaz de influir en otras partes del mundo, dando inicio a la expansión de la ideología comunista y capitalista por ambas partas. Estos países utilizaron todos los recursos económicos y políticos a su alcance para lograr sus fines. Para conseguir una mayor influencia mundial se desarrolló enormemente la fuerza militar, dando paso a una mayor tensión entre los dos países, intervenciones militares en otras partes del mundo, y con ello el desarrollo de la Guerra Fría.</w:t>
      </w:r>
    </w:p>
    <w:p w14:paraId="3C3BD17A" w14:textId="77777777" w:rsidR="008A5C0A" w:rsidRPr="00310C31" w:rsidRDefault="008A5C0A" w:rsidP="009F4197">
      <w:pPr>
        <w:rPr>
          <w:rFonts w:cs="Times New Roman"/>
          <w:b/>
          <w:sz w:val="24"/>
          <w:szCs w:val="24"/>
        </w:rPr>
      </w:pPr>
    </w:p>
    <w:p w14:paraId="5DE003EB" w14:textId="77777777" w:rsidR="007743E9" w:rsidRPr="00310C31" w:rsidRDefault="007743E9" w:rsidP="009F4197">
      <w:pPr>
        <w:rPr>
          <w:rFonts w:cs="Times New Roman"/>
          <w:b/>
          <w:sz w:val="24"/>
          <w:szCs w:val="24"/>
        </w:rPr>
      </w:pPr>
      <w:r w:rsidRPr="00310C31">
        <w:rPr>
          <w:rFonts w:cs="Times New Roman"/>
          <w:b/>
          <w:sz w:val="24"/>
          <w:szCs w:val="24"/>
        </w:rPr>
        <w:t>4. Siguiendo el cuadro 7.1 (Camps, p. 81) explica los factores que desequilibraron el resultado de la Guerra.</w:t>
      </w:r>
    </w:p>
    <w:p w14:paraId="76033CF6" w14:textId="77777777" w:rsidR="007743E9" w:rsidRPr="00310C31" w:rsidRDefault="007743E9" w:rsidP="009F4197">
      <w:pPr>
        <w:rPr>
          <w:rFonts w:cs="Times New Roman"/>
          <w:b/>
          <w:sz w:val="24"/>
          <w:szCs w:val="24"/>
        </w:rPr>
      </w:pPr>
      <w:r w:rsidRPr="00310C31">
        <w:rPr>
          <w:rFonts w:cs="Times New Roman"/>
          <w:b/>
          <w:sz w:val="24"/>
          <w:szCs w:val="24"/>
        </w:rPr>
        <w:t>5. Enumere por orden de importancia las pérdidas de la 1ª GM  (Camps 7.2, p.82) y relaciónelas con los datos del cuadro 7.1 (Camps, p. 81).</w:t>
      </w:r>
    </w:p>
    <w:p w14:paraId="7546AD76" w14:textId="77777777" w:rsidR="007743E9" w:rsidRPr="00310C31" w:rsidRDefault="007743E9" w:rsidP="009F4197">
      <w:pPr>
        <w:rPr>
          <w:rFonts w:cs="Times New Roman"/>
          <w:b/>
          <w:sz w:val="24"/>
          <w:szCs w:val="24"/>
        </w:rPr>
      </w:pPr>
      <w:r w:rsidRPr="00310C31">
        <w:rPr>
          <w:rFonts w:cs="Times New Roman"/>
          <w:b/>
          <w:sz w:val="24"/>
          <w:szCs w:val="24"/>
        </w:rPr>
        <w:t>6. Analice los cuadros 7.3. y 7.4. (Camps, pp. 82-83 y pp. 87-89) y señale las consecuencias de la Guerra para vencedores y vencidos.</w:t>
      </w:r>
    </w:p>
    <w:p w14:paraId="1D1B2679" w14:textId="232FEA66" w:rsidR="00310C31" w:rsidRPr="00310C31" w:rsidRDefault="00310C31" w:rsidP="009F4197">
      <w:pPr>
        <w:rPr>
          <w:rFonts w:cs="Times New Roman"/>
          <w:sz w:val="24"/>
          <w:szCs w:val="24"/>
        </w:rPr>
      </w:pPr>
      <w:r w:rsidRPr="00310C31">
        <w:rPr>
          <w:rFonts w:cs="Times New Roman"/>
          <w:sz w:val="24"/>
          <w:szCs w:val="24"/>
        </w:rPr>
        <w:t>…</w:t>
      </w:r>
    </w:p>
    <w:p w14:paraId="33799110" w14:textId="77777777" w:rsidR="00730ED6" w:rsidRPr="00310C31" w:rsidRDefault="00376049" w:rsidP="009F4197">
      <w:pPr>
        <w:rPr>
          <w:rFonts w:cs="Times New Roman"/>
          <w:b/>
          <w:sz w:val="24"/>
          <w:szCs w:val="24"/>
        </w:rPr>
      </w:pPr>
      <w:r w:rsidRPr="00310C31">
        <w:rPr>
          <w:rFonts w:cs="Times New Roman"/>
          <w:b/>
          <w:sz w:val="24"/>
          <w:szCs w:val="24"/>
        </w:rPr>
        <w:lastRenderedPageBreak/>
        <w:t>7</w:t>
      </w:r>
      <w:r w:rsidR="00730ED6" w:rsidRPr="00310C31">
        <w:rPr>
          <w:rFonts w:cs="Times New Roman"/>
          <w:b/>
          <w:sz w:val="24"/>
          <w:szCs w:val="24"/>
        </w:rPr>
        <w:t>.  Explica brevemente el encadenamiento entre el crac de 1929 y la gran depresión de la década de 1930. Revisa las causas de ambos fenómenos (</w:t>
      </w:r>
      <w:r w:rsidRPr="00310C31">
        <w:rPr>
          <w:rFonts w:cs="Times New Roman"/>
          <w:b/>
          <w:sz w:val="24"/>
          <w:szCs w:val="24"/>
        </w:rPr>
        <w:t xml:space="preserve"> Hernández </w:t>
      </w:r>
      <w:proofErr w:type="spellStart"/>
      <w:r w:rsidRPr="00310C31">
        <w:rPr>
          <w:rFonts w:cs="Times New Roman"/>
          <w:b/>
          <w:sz w:val="24"/>
          <w:szCs w:val="24"/>
        </w:rPr>
        <w:t>Anderu</w:t>
      </w:r>
      <w:proofErr w:type="spellEnd"/>
      <w:r w:rsidRPr="00310C31">
        <w:rPr>
          <w:rFonts w:cs="Times New Roman"/>
          <w:b/>
          <w:sz w:val="24"/>
          <w:szCs w:val="24"/>
        </w:rPr>
        <w:t xml:space="preserve">, </w:t>
      </w:r>
      <w:r w:rsidR="00730ED6" w:rsidRPr="00310C31">
        <w:rPr>
          <w:rFonts w:cs="Times New Roman"/>
          <w:b/>
          <w:sz w:val="24"/>
          <w:szCs w:val="24"/>
        </w:rPr>
        <w:t>pp. 183-187</w:t>
      </w:r>
      <w:r w:rsidRPr="00310C31">
        <w:rPr>
          <w:rFonts w:cs="Times New Roman"/>
          <w:b/>
          <w:sz w:val="24"/>
          <w:szCs w:val="24"/>
        </w:rPr>
        <w:t xml:space="preserve"> y Camps, pp. 89-96</w:t>
      </w:r>
      <w:r w:rsidR="00730ED6" w:rsidRPr="00310C31">
        <w:rPr>
          <w:rFonts w:cs="Times New Roman"/>
          <w:b/>
          <w:sz w:val="24"/>
          <w:szCs w:val="24"/>
        </w:rPr>
        <w:t>).</w:t>
      </w:r>
    </w:p>
    <w:p w14:paraId="59BEDCC4" w14:textId="77777777" w:rsidR="008A5C0A" w:rsidRPr="00310C31" w:rsidRDefault="008A5C0A" w:rsidP="009F4197">
      <w:pPr>
        <w:rPr>
          <w:rFonts w:cs="Times New Roman"/>
          <w:sz w:val="24"/>
          <w:szCs w:val="24"/>
        </w:rPr>
      </w:pPr>
      <w:r w:rsidRPr="00310C31">
        <w:rPr>
          <w:rFonts w:cs="Times New Roman"/>
          <w:sz w:val="24"/>
          <w:szCs w:val="24"/>
        </w:rPr>
        <w:t>De forma completamente inesperada, en octubre de 1929, se derrumbó la Bolsa de Nueva York y, a reglón seguido, toda la economía experimentó una crisis de enormes proporciones durante los años 1930, 1931 y 1932, que se conoce como la Gran Depresión. Los niveles de producción cayeron a la mitad y el paro se elevó hasta alcanzar a una cuarta parte de la población activa. La principal consecuencia de la Gran Depresión fue el deterioro del clima económico mundial, que dio alas a los extremistas de izquierdas y de derechas y a toda suerte de nacionalistas, lo que finalmente condujo inevitablemente a la Segunda Guerra Mundial.</w:t>
      </w:r>
    </w:p>
    <w:p w14:paraId="0A282FC3" w14:textId="77777777" w:rsidR="008A5C0A" w:rsidRPr="00310C31" w:rsidRDefault="008A5C0A" w:rsidP="009F4197">
      <w:pPr>
        <w:rPr>
          <w:rFonts w:cs="Times New Roman"/>
          <w:b/>
          <w:sz w:val="24"/>
          <w:szCs w:val="24"/>
        </w:rPr>
      </w:pPr>
    </w:p>
    <w:p w14:paraId="42BCF62D" w14:textId="77777777" w:rsidR="00730ED6" w:rsidRPr="00310C31" w:rsidRDefault="00376049" w:rsidP="009F4197">
      <w:pPr>
        <w:rPr>
          <w:rFonts w:cs="Times New Roman"/>
          <w:b/>
          <w:sz w:val="24"/>
          <w:szCs w:val="24"/>
        </w:rPr>
      </w:pPr>
      <w:r w:rsidRPr="00310C31">
        <w:rPr>
          <w:rFonts w:cs="Times New Roman"/>
          <w:b/>
          <w:sz w:val="24"/>
          <w:szCs w:val="24"/>
        </w:rPr>
        <w:t>8</w:t>
      </w:r>
      <w:r w:rsidR="00730ED6" w:rsidRPr="00310C31">
        <w:rPr>
          <w:rFonts w:cs="Times New Roman"/>
          <w:b/>
          <w:sz w:val="24"/>
          <w:szCs w:val="24"/>
        </w:rPr>
        <w:t xml:space="preserve">. Señala cinco o seis rasgos básicos de la New </w:t>
      </w:r>
      <w:proofErr w:type="spellStart"/>
      <w:r w:rsidR="00730ED6" w:rsidRPr="00310C31">
        <w:rPr>
          <w:rFonts w:cs="Times New Roman"/>
          <w:b/>
          <w:sz w:val="24"/>
          <w:szCs w:val="24"/>
        </w:rPr>
        <w:t>Deal</w:t>
      </w:r>
      <w:proofErr w:type="spellEnd"/>
      <w:r w:rsidR="00730ED6" w:rsidRPr="00310C31">
        <w:rPr>
          <w:rFonts w:cs="Times New Roman"/>
          <w:b/>
          <w:sz w:val="24"/>
          <w:szCs w:val="24"/>
        </w:rPr>
        <w:t xml:space="preserve"> (pp.187-189).</w:t>
      </w:r>
    </w:p>
    <w:p w14:paraId="663CE7E0" w14:textId="16E4C26A" w:rsidR="008A5C0A" w:rsidRPr="00310C31" w:rsidRDefault="008A5C0A" w:rsidP="009F4197">
      <w:pPr>
        <w:pStyle w:val="Prrafodelista"/>
        <w:numPr>
          <w:ilvl w:val="0"/>
          <w:numId w:val="3"/>
        </w:numPr>
        <w:rPr>
          <w:rFonts w:cs="Times New Roman"/>
          <w:sz w:val="24"/>
          <w:szCs w:val="24"/>
        </w:rPr>
      </w:pPr>
      <w:r w:rsidRPr="00310C31">
        <w:rPr>
          <w:rFonts w:cs="Times New Roman"/>
          <w:sz w:val="24"/>
          <w:szCs w:val="24"/>
        </w:rPr>
        <w:t xml:space="preserve">La Administración de Roosevelt puso en marcha la </w:t>
      </w:r>
      <w:proofErr w:type="spellStart"/>
      <w:r w:rsidRPr="00310C31">
        <w:rPr>
          <w:rFonts w:cs="Times New Roman"/>
          <w:sz w:val="24"/>
          <w:szCs w:val="24"/>
        </w:rPr>
        <w:t>Agricultural</w:t>
      </w:r>
      <w:proofErr w:type="spellEnd"/>
      <w:r w:rsidRPr="00310C31">
        <w:rPr>
          <w:rFonts w:cs="Times New Roman"/>
          <w:sz w:val="24"/>
          <w:szCs w:val="24"/>
        </w:rPr>
        <w:t xml:space="preserve"> </w:t>
      </w:r>
      <w:proofErr w:type="spellStart"/>
      <w:r w:rsidRPr="00310C31">
        <w:rPr>
          <w:rFonts w:cs="Times New Roman"/>
          <w:sz w:val="24"/>
          <w:szCs w:val="24"/>
        </w:rPr>
        <w:t>Adjustment</w:t>
      </w:r>
      <w:proofErr w:type="spellEnd"/>
      <w:r w:rsidRPr="00310C31">
        <w:rPr>
          <w:rFonts w:cs="Times New Roman"/>
          <w:sz w:val="24"/>
          <w:szCs w:val="24"/>
        </w:rPr>
        <w:t xml:space="preserve"> </w:t>
      </w:r>
      <w:proofErr w:type="spellStart"/>
      <w:r w:rsidRPr="00310C31">
        <w:rPr>
          <w:rFonts w:cs="Times New Roman"/>
          <w:sz w:val="24"/>
          <w:szCs w:val="24"/>
        </w:rPr>
        <w:t>Act</w:t>
      </w:r>
      <w:proofErr w:type="spellEnd"/>
      <w:r w:rsidRPr="00310C31">
        <w:rPr>
          <w:rFonts w:cs="Times New Roman"/>
          <w:sz w:val="24"/>
          <w:szCs w:val="24"/>
        </w:rPr>
        <w:t xml:space="preserve"> (AAA) (1933) para planificar las reducciones y ofrecer subsidios a los agricultores por aceptarlas.</w:t>
      </w:r>
    </w:p>
    <w:p w14:paraId="499859CF" w14:textId="74555A86" w:rsidR="008A5C0A" w:rsidRPr="00310C31" w:rsidRDefault="008A5C0A" w:rsidP="009F4197">
      <w:pPr>
        <w:pStyle w:val="Prrafodelista"/>
        <w:numPr>
          <w:ilvl w:val="0"/>
          <w:numId w:val="3"/>
        </w:numPr>
        <w:rPr>
          <w:rFonts w:cs="Times New Roman"/>
          <w:sz w:val="24"/>
          <w:szCs w:val="24"/>
        </w:rPr>
      </w:pPr>
      <w:r w:rsidRPr="00310C31">
        <w:rPr>
          <w:rFonts w:cs="Times New Roman"/>
          <w:sz w:val="24"/>
          <w:szCs w:val="24"/>
        </w:rPr>
        <w:t>En la industria, Roosevelt  buscó, primero, recuperar la paz social, que estaba absolutamente rota (huelgas, asesinatos, etc.); lo hizo otorgando a los sindicatos un reconocimiento que nunca antes habían tenido y concediendo derechos laborales inéditos, como los salarios mínimos, que alcanzaron a la población negra (aunque se fijaron a un nivel inferior que para la población blanca).</w:t>
      </w:r>
    </w:p>
    <w:p w14:paraId="74BA4771" w14:textId="64F99E8B" w:rsidR="008A5C0A" w:rsidRPr="00310C31" w:rsidRDefault="008A5C0A" w:rsidP="009F4197">
      <w:pPr>
        <w:pStyle w:val="Prrafodelista"/>
        <w:numPr>
          <w:ilvl w:val="0"/>
          <w:numId w:val="3"/>
        </w:numPr>
        <w:rPr>
          <w:rFonts w:cs="Times New Roman"/>
          <w:sz w:val="24"/>
          <w:szCs w:val="24"/>
        </w:rPr>
      </w:pPr>
      <w:r w:rsidRPr="00310C31">
        <w:rPr>
          <w:rFonts w:cs="Times New Roman"/>
          <w:sz w:val="24"/>
          <w:szCs w:val="24"/>
        </w:rPr>
        <w:t xml:space="preserve">La suspensión de la política de competencia (la Sherman </w:t>
      </w:r>
      <w:proofErr w:type="spellStart"/>
      <w:r w:rsidRPr="00310C31">
        <w:rPr>
          <w:rFonts w:cs="Times New Roman"/>
          <w:sz w:val="24"/>
          <w:szCs w:val="24"/>
        </w:rPr>
        <w:t>Act</w:t>
      </w:r>
      <w:proofErr w:type="spellEnd"/>
      <w:r w:rsidRPr="00310C31">
        <w:rPr>
          <w:rFonts w:cs="Times New Roman"/>
          <w:sz w:val="24"/>
          <w:szCs w:val="24"/>
        </w:rPr>
        <w:t xml:space="preserve"> 1890), establecida por la </w:t>
      </w:r>
      <w:proofErr w:type="spellStart"/>
      <w:r w:rsidRPr="00310C31">
        <w:rPr>
          <w:rFonts w:cs="Times New Roman"/>
          <w:sz w:val="24"/>
          <w:szCs w:val="24"/>
        </w:rPr>
        <w:t>National</w:t>
      </w:r>
      <w:proofErr w:type="spellEnd"/>
      <w:r w:rsidRPr="00310C31">
        <w:rPr>
          <w:rFonts w:cs="Times New Roman"/>
          <w:sz w:val="24"/>
          <w:szCs w:val="24"/>
        </w:rPr>
        <w:t xml:space="preserve"> </w:t>
      </w:r>
      <w:proofErr w:type="spellStart"/>
      <w:r w:rsidRPr="00310C31">
        <w:rPr>
          <w:rFonts w:cs="Times New Roman"/>
          <w:sz w:val="24"/>
          <w:szCs w:val="24"/>
        </w:rPr>
        <w:t>Industry</w:t>
      </w:r>
      <w:proofErr w:type="spellEnd"/>
      <w:r w:rsidRPr="00310C31">
        <w:rPr>
          <w:rFonts w:cs="Times New Roman"/>
          <w:sz w:val="24"/>
          <w:szCs w:val="24"/>
        </w:rPr>
        <w:t xml:space="preserve"> </w:t>
      </w:r>
      <w:proofErr w:type="spellStart"/>
      <w:r w:rsidRPr="00310C31">
        <w:rPr>
          <w:rFonts w:cs="Times New Roman"/>
          <w:sz w:val="24"/>
          <w:szCs w:val="24"/>
        </w:rPr>
        <w:t>Recovery</w:t>
      </w:r>
      <w:proofErr w:type="spellEnd"/>
      <w:r w:rsidRPr="00310C31">
        <w:rPr>
          <w:rFonts w:cs="Times New Roman"/>
          <w:sz w:val="24"/>
          <w:szCs w:val="24"/>
        </w:rPr>
        <w:t xml:space="preserve"> </w:t>
      </w:r>
      <w:proofErr w:type="spellStart"/>
      <w:r w:rsidRPr="00310C31">
        <w:rPr>
          <w:rFonts w:cs="Times New Roman"/>
          <w:sz w:val="24"/>
          <w:szCs w:val="24"/>
        </w:rPr>
        <w:t>Act</w:t>
      </w:r>
      <w:proofErr w:type="spellEnd"/>
      <w:r w:rsidRPr="00310C31">
        <w:rPr>
          <w:rFonts w:cs="Times New Roman"/>
          <w:sz w:val="24"/>
          <w:szCs w:val="24"/>
        </w:rPr>
        <w:t xml:space="preserve"> (NIRA) (1933). </w:t>
      </w:r>
    </w:p>
    <w:p w14:paraId="2953B3D0" w14:textId="14E2C273" w:rsidR="008A5C0A" w:rsidRPr="00310C31" w:rsidRDefault="008A5C0A" w:rsidP="009F4197">
      <w:pPr>
        <w:pStyle w:val="Prrafodelista"/>
        <w:numPr>
          <w:ilvl w:val="0"/>
          <w:numId w:val="3"/>
        </w:numPr>
        <w:rPr>
          <w:rFonts w:cs="Times New Roman"/>
          <w:sz w:val="24"/>
          <w:szCs w:val="24"/>
        </w:rPr>
      </w:pPr>
      <w:r w:rsidRPr="00310C31">
        <w:rPr>
          <w:rFonts w:cs="Times New Roman"/>
          <w:sz w:val="24"/>
          <w:szCs w:val="24"/>
        </w:rPr>
        <w:t xml:space="preserve">En actividades bursátiles, la intervención </w:t>
      </w:r>
      <w:proofErr w:type="spellStart"/>
      <w:r w:rsidRPr="00310C31">
        <w:rPr>
          <w:rFonts w:cs="Times New Roman"/>
          <w:sz w:val="24"/>
          <w:szCs w:val="24"/>
        </w:rPr>
        <w:t>rooseveltiana</w:t>
      </w:r>
      <w:proofErr w:type="spellEnd"/>
      <w:r w:rsidRPr="00310C31">
        <w:rPr>
          <w:rFonts w:cs="Times New Roman"/>
          <w:sz w:val="24"/>
          <w:szCs w:val="24"/>
        </w:rPr>
        <w:t xml:space="preserve"> supuso el fin de la completa autorregulación de las bolsas con la introducción de la </w:t>
      </w:r>
      <w:proofErr w:type="spellStart"/>
      <w:r w:rsidRPr="00310C31">
        <w:rPr>
          <w:rFonts w:cs="Times New Roman"/>
          <w:sz w:val="24"/>
          <w:szCs w:val="24"/>
        </w:rPr>
        <w:t>Securities</w:t>
      </w:r>
      <w:proofErr w:type="spellEnd"/>
      <w:r w:rsidRPr="00310C31">
        <w:rPr>
          <w:rFonts w:cs="Times New Roman"/>
          <w:sz w:val="24"/>
          <w:szCs w:val="24"/>
        </w:rPr>
        <w:t xml:space="preserve"> Exchange </w:t>
      </w:r>
      <w:proofErr w:type="spellStart"/>
      <w:r w:rsidRPr="00310C31">
        <w:rPr>
          <w:rFonts w:cs="Times New Roman"/>
          <w:sz w:val="24"/>
          <w:szCs w:val="24"/>
        </w:rPr>
        <w:t>Commission</w:t>
      </w:r>
      <w:proofErr w:type="spellEnd"/>
      <w:r w:rsidRPr="00310C31">
        <w:rPr>
          <w:rFonts w:cs="Times New Roman"/>
          <w:sz w:val="24"/>
          <w:szCs w:val="24"/>
        </w:rPr>
        <w:t xml:space="preserve"> (SEC) (1933), un organismo que exigiría transparencia a las sociedades cotizadas y que perseguiría el uso de la información privilegiada.</w:t>
      </w:r>
    </w:p>
    <w:p w14:paraId="0B25EC7C" w14:textId="3C5DF6C2" w:rsidR="008A5C0A" w:rsidRPr="00310C31" w:rsidRDefault="008A5C0A" w:rsidP="009F4197">
      <w:pPr>
        <w:pStyle w:val="Prrafodelista"/>
        <w:numPr>
          <w:ilvl w:val="0"/>
          <w:numId w:val="3"/>
        </w:numPr>
        <w:rPr>
          <w:rFonts w:cs="Times New Roman"/>
          <w:sz w:val="24"/>
          <w:szCs w:val="24"/>
        </w:rPr>
      </w:pPr>
      <w:r w:rsidRPr="00310C31">
        <w:rPr>
          <w:rFonts w:cs="Times New Roman"/>
          <w:sz w:val="24"/>
          <w:szCs w:val="24"/>
        </w:rPr>
        <w:t xml:space="preserve">La creación de “seguro de depósitos”, que serían gestionados por la Federal </w:t>
      </w:r>
      <w:proofErr w:type="spellStart"/>
      <w:r w:rsidRPr="00310C31">
        <w:rPr>
          <w:rFonts w:cs="Times New Roman"/>
          <w:sz w:val="24"/>
          <w:szCs w:val="24"/>
        </w:rPr>
        <w:t>Deposit</w:t>
      </w:r>
      <w:proofErr w:type="spellEnd"/>
      <w:r w:rsidRPr="00310C31">
        <w:rPr>
          <w:rFonts w:cs="Times New Roman"/>
          <w:sz w:val="24"/>
          <w:szCs w:val="24"/>
        </w:rPr>
        <w:t xml:space="preserve"> </w:t>
      </w:r>
      <w:proofErr w:type="spellStart"/>
      <w:r w:rsidRPr="00310C31">
        <w:rPr>
          <w:rFonts w:cs="Times New Roman"/>
          <w:sz w:val="24"/>
          <w:szCs w:val="24"/>
        </w:rPr>
        <w:t>Insurance</w:t>
      </w:r>
      <w:proofErr w:type="spellEnd"/>
      <w:r w:rsidRPr="00310C31">
        <w:rPr>
          <w:rFonts w:cs="Times New Roman"/>
          <w:sz w:val="24"/>
          <w:szCs w:val="24"/>
        </w:rPr>
        <w:t xml:space="preserve"> </w:t>
      </w:r>
      <w:proofErr w:type="spellStart"/>
      <w:r w:rsidRPr="00310C31">
        <w:rPr>
          <w:rFonts w:cs="Times New Roman"/>
          <w:sz w:val="24"/>
          <w:szCs w:val="24"/>
        </w:rPr>
        <w:t>Commission</w:t>
      </w:r>
      <w:proofErr w:type="spellEnd"/>
      <w:r w:rsidRPr="00310C31">
        <w:rPr>
          <w:rFonts w:cs="Times New Roman"/>
          <w:sz w:val="24"/>
          <w:szCs w:val="24"/>
        </w:rPr>
        <w:t xml:space="preserve"> (FDIC). El seguro tendría cobertura máxima, por lo que buscaba la protección de los pequeños depositantes y evitar que se repitieran los “pánicos bancarios”.</w:t>
      </w:r>
    </w:p>
    <w:p w14:paraId="48EE142F" w14:textId="254D9A8C" w:rsidR="008A5C0A" w:rsidRPr="00310C31" w:rsidRDefault="008A5C0A" w:rsidP="009F4197">
      <w:pPr>
        <w:pStyle w:val="Prrafodelista"/>
        <w:numPr>
          <w:ilvl w:val="0"/>
          <w:numId w:val="3"/>
        </w:numPr>
        <w:rPr>
          <w:rFonts w:cs="Times New Roman"/>
          <w:sz w:val="24"/>
          <w:szCs w:val="24"/>
        </w:rPr>
      </w:pPr>
      <w:r w:rsidRPr="00310C31">
        <w:rPr>
          <w:rFonts w:cs="Times New Roman"/>
          <w:sz w:val="24"/>
          <w:szCs w:val="24"/>
        </w:rPr>
        <w:t xml:space="preserve">La </w:t>
      </w:r>
      <w:proofErr w:type="spellStart"/>
      <w:r w:rsidRPr="00310C31">
        <w:rPr>
          <w:rFonts w:cs="Times New Roman"/>
          <w:sz w:val="24"/>
          <w:szCs w:val="24"/>
        </w:rPr>
        <w:t>Glass-Steagall</w:t>
      </w:r>
      <w:proofErr w:type="spellEnd"/>
      <w:r w:rsidRPr="00310C31">
        <w:rPr>
          <w:rFonts w:cs="Times New Roman"/>
          <w:sz w:val="24"/>
          <w:szCs w:val="24"/>
        </w:rPr>
        <w:t xml:space="preserve"> </w:t>
      </w:r>
      <w:proofErr w:type="spellStart"/>
      <w:r w:rsidRPr="00310C31">
        <w:rPr>
          <w:rFonts w:cs="Times New Roman"/>
          <w:sz w:val="24"/>
          <w:szCs w:val="24"/>
        </w:rPr>
        <w:t>Act</w:t>
      </w:r>
      <w:proofErr w:type="spellEnd"/>
      <w:r w:rsidRPr="00310C31">
        <w:rPr>
          <w:rFonts w:cs="Times New Roman"/>
          <w:sz w:val="24"/>
          <w:szCs w:val="24"/>
        </w:rPr>
        <w:t xml:space="preserve"> (1933) exigió la especialización bancaria, separando los bancos comerciales de los bancos de inversión.</w:t>
      </w:r>
    </w:p>
    <w:p w14:paraId="7AC2DBF7" w14:textId="77777777" w:rsidR="00310C31" w:rsidRDefault="00310C31" w:rsidP="009F4197">
      <w:pPr>
        <w:rPr>
          <w:rFonts w:cs="Times New Roman"/>
          <w:b/>
          <w:sz w:val="24"/>
          <w:szCs w:val="24"/>
        </w:rPr>
      </w:pPr>
    </w:p>
    <w:p w14:paraId="79241DDF" w14:textId="77777777" w:rsidR="001C2BFB" w:rsidRPr="00310C31" w:rsidRDefault="001C2BFB" w:rsidP="009F4197">
      <w:pPr>
        <w:rPr>
          <w:rFonts w:cs="Times New Roman"/>
          <w:b/>
          <w:sz w:val="24"/>
          <w:szCs w:val="24"/>
        </w:rPr>
      </w:pPr>
    </w:p>
    <w:p w14:paraId="57837B3B" w14:textId="77777777" w:rsidR="00730ED6" w:rsidRPr="00310C31" w:rsidRDefault="00376049" w:rsidP="009F4197">
      <w:pPr>
        <w:rPr>
          <w:rFonts w:cs="Times New Roman"/>
          <w:b/>
          <w:sz w:val="24"/>
          <w:szCs w:val="24"/>
        </w:rPr>
      </w:pPr>
      <w:r w:rsidRPr="00310C31">
        <w:rPr>
          <w:rFonts w:cs="Times New Roman"/>
          <w:b/>
          <w:sz w:val="24"/>
          <w:szCs w:val="24"/>
        </w:rPr>
        <w:lastRenderedPageBreak/>
        <w:t>9</w:t>
      </w:r>
      <w:r w:rsidR="00730ED6" w:rsidRPr="00310C31">
        <w:rPr>
          <w:rFonts w:cs="Times New Roman"/>
          <w:b/>
          <w:sz w:val="24"/>
          <w:szCs w:val="24"/>
        </w:rPr>
        <w:t>. Señala los principales condicionantes del atraso económico español en el largo siglo XIX (</w:t>
      </w:r>
      <w:r w:rsidRPr="00310C31">
        <w:rPr>
          <w:rFonts w:cs="Times New Roman"/>
          <w:b/>
          <w:sz w:val="24"/>
          <w:szCs w:val="24"/>
        </w:rPr>
        <w:t xml:space="preserve">Hernández Andreu, </w:t>
      </w:r>
      <w:r w:rsidR="00730ED6" w:rsidRPr="00310C31">
        <w:rPr>
          <w:rFonts w:cs="Times New Roman"/>
          <w:b/>
          <w:sz w:val="24"/>
          <w:szCs w:val="24"/>
        </w:rPr>
        <w:t>pp. 199-211): desde el lado de la demanda; desde el lado de la oferta; desde las instituciones.</w:t>
      </w:r>
    </w:p>
    <w:p w14:paraId="6A1B7CBE" w14:textId="77777777" w:rsidR="008A5C0A" w:rsidRPr="00310C31" w:rsidRDefault="008A5C0A" w:rsidP="009F4197">
      <w:pPr>
        <w:rPr>
          <w:rFonts w:cs="Times New Roman"/>
          <w:sz w:val="24"/>
          <w:szCs w:val="24"/>
        </w:rPr>
      </w:pPr>
      <w:r w:rsidRPr="00310C31">
        <w:rPr>
          <w:rFonts w:cs="Times New Roman"/>
          <w:sz w:val="24"/>
          <w:szCs w:val="24"/>
        </w:rPr>
        <w:t xml:space="preserve">Ante los principales condicionantes del atraso económico español en el largo siglo XIX, encontramos 3 posturas. En primer lugar, por parte de Jordi Nadal y su escuela, ponen el acento en la debilidad de la demanda y en los condicionantes introducidos por la dependencia del capital extranjero. En segundo lugar, el análisis que ofrece Leandro Prados de la </w:t>
      </w:r>
      <w:proofErr w:type="spellStart"/>
      <w:r w:rsidRPr="00310C31">
        <w:rPr>
          <w:rFonts w:cs="Times New Roman"/>
          <w:sz w:val="24"/>
          <w:szCs w:val="24"/>
        </w:rPr>
        <w:t>Escosura</w:t>
      </w:r>
      <w:proofErr w:type="spellEnd"/>
      <w:r w:rsidRPr="00310C31">
        <w:rPr>
          <w:rFonts w:cs="Times New Roman"/>
          <w:sz w:val="24"/>
          <w:szCs w:val="24"/>
        </w:rPr>
        <w:t xml:space="preserve"> y sus seguidores, es que insisten en destacar los factores de oferta: falta de innovación tecnológica, fallo de los mercados capitales, escasez de vocaciones empresariales capaces de dar respuestas competitivas en entornos abiertos a la competencia. Entre ambas posturas, que contrastan fuertemente, se erige la obra de Gabriel </w:t>
      </w:r>
      <w:proofErr w:type="spellStart"/>
      <w:r w:rsidRPr="00310C31">
        <w:rPr>
          <w:rFonts w:cs="Times New Roman"/>
          <w:sz w:val="24"/>
          <w:szCs w:val="24"/>
        </w:rPr>
        <w:t>Tortella</w:t>
      </w:r>
      <w:proofErr w:type="spellEnd"/>
      <w:r w:rsidRPr="00310C31">
        <w:rPr>
          <w:rFonts w:cs="Times New Roman"/>
          <w:sz w:val="24"/>
          <w:szCs w:val="24"/>
        </w:rPr>
        <w:t xml:space="preserve"> que, compartiendo puntos de  vista de las posiciones extremas, resulta no una mera síntesis sino una aportación inteligente y sutilmente matizada. Además, el profesor </w:t>
      </w:r>
      <w:proofErr w:type="spellStart"/>
      <w:r w:rsidRPr="00310C31">
        <w:rPr>
          <w:rFonts w:cs="Times New Roman"/>
          <w:sz w:val="24"/>
          <w:szCs w:val="24"/>
        </w:rPr>
        <w:t>Tortella</w:t>
      </w:r>
      <w:proofErr w:type="spellEnd"/>
      <w:r w:rsidRPr="00310C31">
        <w:rPr>
          <w:rFonts w:cs="Times New Roman"/>
          <w:sz w:val="24"/>
          <w:szCs w:val="24"/>
        </w:rPr>
        <w:t xml:space="preserve"> ha terminado por introducir los factores institucionales en el debate (principalmente, la educación), lo que conecta con las preocupaciones más recientes de la moderna historiografía.</w:t>
      </w:r>
    </w:p>
    <w:p w14:paraId="3B8D7DF5" w14:textId="77777777" w:rsidR="008A5C0A" w:rsidRPr="00310C31" w:rsidRDefault="008A5C0A" w:rsidP="009F4197">
      <w:pPr>
        <w:rPr>
          <w:rFonts w:cs="Times New Roman"/>
          <w:b/>
          <w:sz w:val="24"/>
          <w:szCs w:val="24"/>
        </w:rPr>
      </w:pPr>
    </w:p>
    <w:p w14:paraId="3E26004A" w14:textId="77777777" w:rsidR="00730ED6" w:rsidRPr="00310C31" w:rsidRDefault="00376049" w:rsidP="009F4197">
      <w:pPr>
        <w:rPr>
          <w:rFonts w:cs="Times New Roman"/>
          <w:b/>
          <w:sz w:val="24"/>
          <w:szCs w:val="24"/>
        </w:rPr>
      </w:pPr>
      <w:r w:rsidRPr="00310C31">
        <w:rPr>
          <w:rFonts w:cs="Times New Roman"/>
          <w:b/>
          <w:sz w:val="24"/>
          <w:szCs w:val="24"/>
        </w:rPr>
        <w:t>10</w:t>
      </w:r>
      <w:r w:rsidR="00730ED6" w:rsidRPr="00310C31">
        <w:rPr>
          <w:rFonts w:cs="Times New Roman"/>
          <w:b/>
          <w:sz w:val="24"/>
          <w:szCs w:val="24"/>
        </w:rPr>
        <w:t>. Una vez leído el gráfico 8.1. establece las etapas del Desarrollo económico español contemporáneo (</w:t>
      </w:r>
      <w:r w:rsidRPr="00310C31">
        <w:rPr>
          <w:rFonts w:cs="Times New Roman"/>
          <w:b/>
          <w:sz w:val="24"/>
          <w:szCs w:val="24"/>
        </w:rPr>
        <w:t xml:space="preserve"> Hernández Andreu, </w:t>
      </w:r>
      <w:r w:rsidR="00730ED6" w:rsidRPr="00310C31">
        <w:rPr>
          <w:rFonts w:cs="Times New Roman"/>
          <w:b/>
          <w:sz w:val="24"/>
          <w:szCs w:val="24"/>
        </w:rPr>
        <w:t>p. 216)</w:t>
      </w:r>
    </w:p>
    <w:p w14:paraId="52E5DA05" w14:textId="77777777" w:rsidR="008A5C0A" w:rsidRPr="00310C31" w:rsidRDefault="008A5C0A" w:rsidP="009F4197">
      <w:pPr>
        <w:rPr>
          <w:rFonts w:cs="Times New Roman"/>
          <w:sz w:val="24"/>
          <w:szCs w:val="24"/>
        </w:rPr>
      </w:pPr>
      <w:r w:rsidRPr="00310C31">
        <w:rPr>
          <w:rFonts w:cs="Times New Roman"/>
          <w:sz w:val="24"/>
          <w:szCs w:val="24"/>
        </w:rPr>
        <w:t xml:space="preserve">Nos encontramos ante un gráfico que muestra las etapas del desarrollo económico  español entre los años 1850-1990. El primer periodo de que debemos estudiar es desde 1850 hasta 1860, decenio que se mantiene estable con un ligero crecimiento en el que casi 1.000 millones de francos afluyeron al sector privado desde el exterior. El capital fue francés en un 90 por 100 y abrumadoramente se concentró en la inversión ferroviaria. Luego, tras la aprobación de una liberal Ley de Minas, en 1868, empezó a llegar un capital británico para explotar con mayor intensidad la riqueza del subsuelo español, particularmente en lo que se refiere al hierro, el cobre, el plomo y el cinc. En el periodo de 1870 a 1880 se observa un crecimiento debido a la Segunda Revolución Industrial que se acoge con escasa importancia con respecto a Estados Unidos. Esta desarrollaría sectores nuevos como la electricidad o la química. Todos estos procesos se iniciarían para el mundo en las décadas de 1870 y 1880, teniendo como protagonistas a los norteamericanos y los alemanes. La falta de preparación de la sociedad española para afrontar estos cambios, no hizo sino poner de manifiesto la necesaria vinculación de su economía al desarrollo del sector exterior. Desde 1880 hasta 1929 la economía española descendió mucho. A comienzos de 1880, un factor que también influyó negativamente fue la inconvertibilidad de la peseta en oro, y desde 1883, y su secular depreciación. </w:t>
      </w:r>
    </w:p>
    <w:p w14:paraId="56E9C210" w14:textId="77777777" w:rsidR="008A5C0A" w:rsidRPr="00310C31" w:rsidRDefault="008A5C0A" w:rsidP="009F4197">
      <w:pPr>
        <w:rPr>
          <w:rFonts w:cs="Times New Roman"/>
          <w:sz w:val="24"/>
          <w:szCs w:val="24"/>
        </w:rPr>
      </w:pPr>
      <w:r w:rsidRPr="00310C31">
        <w:rPr>
          <w:rFonts w:cs="Times New Roman"/>
          <w:sz w:val="24"/>
          <w:szCs w:val="24"/>
        </w:rPr>
        <w:lastRenderedPageBreak/>
        <w:t xml:space="preserve">El fuerte incremento del gasto desde 1909 y, sobre todo, desde 1914 obligó incurrir en fuertes déficit. El incremento del gasto estuvo relacionado son el conflicto de Marruecos y con la Primera Guerra Mundial. También influyó la pesada carga financiera que antes de la Guerra Civil siempre estuvo por encima del 20 por 100 de los gastos presupuestarios del Estado. En 1914, la neutralidad española durante la Primera Guerra Mundial supuso una inesperada oportunidad para la economía española, pero no fue aprovechada. En 1929 la economía descendió aún más debido al “crac del 29”. </w:t>
      </w:r>
    </w:p>
    <w:p w14:paraId="60C6CE41" w14:textId="77777777" w:rsidR="008A5C0A" w:rsidRPr="00310C31" w:rsidRDefault="008A5C0A" w:rsidP="009F4197">
      <w:pPr>
        <w:rPr>
          <w:rFonts w:cs="Times New Roman"/>
          <w:sz w:val="24"/>
          <w:szCs w:val="24"/>
        </w:rPr>
      </w:pPr>
      <w:r w:rsidRPr="00310C31">
        <w:rPr>
          <w:rFonts w:cs="Times New Roman"/>
          <w:sz w:val="24"/>
          <w:szCs w:val="24"/>
        </w:rPr>
        <w:t>Al finalizar la Guerra Civil en 1939 se mantuvo una estabilidad algo creciente hasta 1960 que experimento un gran aumento.</w:t>
      </w:r>
    </w:p>
    <w:p w14:paraId="45E389C6" w14:textId="77777777" w:rsidR="008A5C0A" w:rsidRPr="00310C31" w:rsidRDefault="008A5C0A" w:rsidP="009F4197">
      <w:pPr>
        <w:rPr>
          <w:rFonts w:cs="Times New Roman"/>
          <w:b/>
          <w:sz w:val="24"/>
          <w:szCs w:val="24"/>
        </w:rPr>
      </w:pPr>
    </w:p>
    <w:p w14:paraId="45295BED" w14:textId="77777777" w:rsidR="00730ED6" w:rsidRPr="00310C31" w:rsidRDefault="00376049" w:rsidP="009F4197">
      <w:pPr>
        <w:rPr>
          <w:rFonts w:cs="Times New Roman"/>
          <w:b/>
          <w:sz w:val="24"/>
          <w:szCs w:val="24"/>
        </w:rPr>
      </w:pPr>
      <w:r w:rsidRPr="00310C31">
        <w:rPr>
          <w:rFonts w:cs="Times New Roman"/>
          <w:b/>
          <w:sz w:val="24"/>
          <w:szCs w:val="24"/>
        </w:rPr>
        <w:t>11</w:t>
      </w:r>
      <w:r w:rsidR="00730ED6" w:rsidRPr="00310C31">
        <w:rPr>
          <w:rFonts w:cs="Times New Roman"/>
          <w:b/>
          <w:sz w:val="24"/>
          <w:szCs w:val="24"/>
        </w:rPr>
        <w:t>. Después de observar el gráfico 8.2. señala las diferencias entre el grado de apertura de la economía española con respecto a Francia, Alemania e Italia y su trascendencia para el desarrollo económico español (</w:t>
      </w:r>
      <w:r w:rsidRPr="00310C31">
        <w:rPr>
          <w:rFonts w:cs="Times New Roman"/>
          <w:b/>
          <w:sz w:val="24"/>
          <w:szCs w:val="24"/>
        </w:rPr>
        <w:t xml:space="preserve">Hernández Andreu, </w:t>
      </w:r>
      <w:r w:rsidR="00730ED6" w:rsidRPr="00310C31">
        <w:rPr>
          <w:rFonts w:cs="Times New Roman"/>
          <w:b/>
          <w:sz w:val="24"/>
          <w:szCs w:val="24"/>
        </w:rPr>
        <w:t>pp. 216-217)</w:t>
      </w:r>
    </w:p>
    <w:p w14:paraId="5EB87B9F" w14:textId="77777777" w:rsidR="008A5C0A" w:rsidRPr="00310C31" w:rsidRDefault="008A5C0A" w:rsidP="009F4197">
      <w:pPr>
        <w:rPr>
          <w:rFonts w:cs="Times New Roman"/>
          <w:sz w:val="24"/>
          <w:szCs w:val="24"/>
        </w:rPr>
      </w:pPr>
      <w:r w:rsidRPr="00310C31">
        <w:rPr>
          <w:rFonts w:cs="Times New Roman"/>
          <w:sz w:val="24"/>
          <w:szCs w:val="24"/>
        </w:rPr>
        <w:t>Realizando una primera visión en el gráfico podemos analizar como desde 1860 hasta el comienzo de la Primera Guerra Mundial la economía de España, Alemania, Francia e Italia se mantuvo en un leve crecimiento debido a lo que denominamos la “primera Globalización” con la Segunda Revolución Industrial, en la que España con respecto a los otros países nombrados, sufrió un lento crecimiento industrial. Con el comienzo de la Gran Guerra hasta finalizar la segunda Guerra Mundial (1945), la economía de Alemania, Francia, Italia y España se vio en un profundo descenso debido entre otros al crac del 29, y a todos los recursos bélicos empleados para la guerra. Además, España vivió la Guerra Civil (1936-1939) y anteriormente continuos cambios políticos y una economía proteccionista. Debido a estos acontecimientos, España se alejó aún más del resto de los países nombrados. Como podemos ver, al finalizar la Segunda Guerra Mundial, se creó el Plan Marshall en el que España no fue incluida, por lo que Alemania, Francia e Italia vivieron una fuerte recuperación económica alejándose aún más de España, que creó en 1959 su propio plan de recuperación, el Plan de Estabilización. Ambas partes crecieron en un diferente desnivel hasta la unificación de la moneda (1998) en la Unión Europea que ambos se equipararon económicamente.</w:t>
      </w:r>
    </w:p>
    <w:p w14:paraId="666B6B82" w14:textId="77777777" w:rsidR="008A5C0A" w:rsidRPr="00310C31" w:rsidRDefault="008A5C0A" w:rsidP="009F4197">
      <w:pPr>
        <w:rPr>
          <w:rFonts w:cs="Times New Roman"/>
          <w:b/>
          <w:sz w:val="24"/>
          <w:szCs w:val="24"/>
        </w:rPr>
      </w:pPr>
    </w:p>
    <w:p w14:paraId="420857E2" w14:textId="77777777" w:rsidR="00730ED6" w:rsidRPr="00310C31" w:rsidRDefault="00376049" w:rsidP="009F4197">
      <w:pPr>
        <w:rPr>
          <w:rFonts w:cs="Times New Roman"/>
          <w:b/>
          <w:sz w:val="24"/>
          <w:szCs w:val="24"/>
        </w:rPr>
      </w:pPr>
      <w:r w:rsidRPr="00310C31">
        <w:rPr>
          <w:rFonts w:cs="Times New Roman"/>
          <w:b/>
          <w:sz w:val="24"/>
          <w:szCs w:val="24"/>
        </w:rPr>
        <w:t>12</w:t>
      </w:r>
      <w:r w:rsidR="00730ED6" w:rsidRPr="00310C31">
        <w:rPr>
          <w:rFonts w:cs="Times New Roman"/>
          <w:b/>
          <w:sz w:val="24"/>
          <w:szCs w:val="24"/>
        </w:rPr>
        <w:t>. ¿La Segunda República española fracasó por motivos económicos? (</w:t>
      </w:r>
      <w:r w:rsidRPr="00310C31">
        <w:rPr>
          <w:rFonts w:cs="Times New Roman"/>
          <w:b/>
          <w:sz w:val="24"/>
          <w:szCs w:val="24"/>
        </w:rPr>
        <w:t xml:space="preserve">Hernández Andreu, </w:t>
      </w:r>
      <w:r w:rsidR="00730ED6" w:rsidRPr="00310C31">
        <w:rPr>
          <w:rFonts w:cs="Times New Roman"/>
          <w:b/>
          <w:sz w:val="24"/>
          <w:szCs w:val="24"/>
        </w:rPr>
        <w:t>pp.211-215).</w:t>
      </w:r>
    </w:p>
    <w:p w14:paraId="55204407" w14:textId="77777777" w:rsidR="008A5C0A" w:rsidRPr="00310C31" w:rsidRDefault="008A5C0A" w:rsidP="009F4197">
      <w:pPr>
        <w:rPr>
          <w:rFonts w:cs="Times New Roman"/>
          <w:sz w:val="24"/>
          <w:szCs w:val="24"/>
        </w:rPr>
      </w:pPr>
      <w:r w:rsidRPr="00310C31">
        <w:rPr>
          <w:rFonts w:cs="Times New Roman"/>
          <w:sz w:val="24"/>
          <w:szCs w:val="24"/>
        </w:rPr>
        <w:t xml:space="preserve">La Segunda República española fracasó principalmente por motivos económicos. Entre los más importantes tenemos: la caída del comercio internacional (la suma de importaciones y exportaciones en 1935 venía a ser la mitad que en 1930)  y el desplome de la inversión. El principal factor del declive de la inversión tuvo que ser el </w:t>
      </w:r>
      <w:r w:rsidRPr="00310C31">
        <w:rPr>
          <w:rFonts w:cs="Times New Roman"/>
          <w:sz w:val="24"/>
          <w:szCs w:val="24"/>
        </w:rPr>
        <w:lastRenderedPageBreak/>
        <w:t>clima de tensión e inestabilidad que existía tanto a nivel internacional como en el propio país. Sin embargo, la política monetaria desarrollada, que se caracterizó por mantener relativamente altos los tipos de interés, no parece haber sido la más adecuada.</w:t>
      </w:r>
    </w:p>
    <w:p w14:paraId="51DEB2F5" w14:textId="77777777" w:rsidR="008A5C0A" w:rsidRPr="00310C31" w:rsidRDefault="008A5C0A" w:rsidP="009F4197">
      <w:pPr>
        <w:rPr>
          <w:rFonts w:cs="Times New Roman"/>
          <w:sz w:val="24"/>
          <w:szCs w:val="24"/>
        </w:rPr>
      </w:pPr>
      <w:r w:rsidRPr="00310C31">
        <w:rPr>
          <w:rFonts w:cs="Times New Roman"/>
          <w:sz w:val="24"/>
          <w:szCs w:val="24"/>
        </w:rPr>
        <w:t>Pero por otro lado de las políticas monetarias, tampoco adoptaron una posición decidida  las políticas que pretendieron resolver la “cuestión social”  y la “cuestión agraria”, que tano pesaban sobre la modernización española.</w:t>
      </w:r>
      <w:r w:rsidRPr="00310C31">
        <w:rPr>
          <w:rFonts w:cs="Times New Roman"/>
          <w:sz w:val="24"/>
          <w:szCs w:val="24"/>
        </w:rPr>
        <w:tab/>
        <w:t>El primer bienio republicano e esforzó, desde la misma Constitución de 1931, porque España ratificara los convenios de la Organización Internacional de Trabajo y quedaran establecidos algunos derechos fundamentales de los trabajadores, pero los gobiernos de derechas que se sucedieron en 1934 y 1935 descuidaran la aplicación efectiva de las normas. La respuesta de los trabajadores fue elevar la conflictividad hasta niveles que, con datos de la Sociedad de Naciones, situaron a España entre los países con más días de trabajo perdidos por huelgas en el mundo.</w:t>
      </w:r>
    </w:p>
    <w:p w14:paraId="678448DA" w14:textId="77777777" w:rsidR="008A5C0A" w:rsidRPr="00310C31" w:rsidRDefault="008A5C0A" w:rsidP="009F4197">
      <w:pPr>
        <w:rPr>
          <w:rFonts w:cs="Times New Roman"/>
          <w:b/>
          <w:sz w:val="24"/>
          <w:szCs w:val="24"/>
        </w:rPr>
      </w:pPr>
    </w:p>
    <w:p w14:paraId="58EBC9F5" w14:textId="77777777" w:rsidR="00C56D22" w:rsidRPr="00310C31" w:rsidRDefault="00C56D22" w:rsidP="009F4197">
      <w:pPr>
        <w:rPr>
          <w:rFonts w:cs="Times New Roman"/>
          <w:b/>
          <w:sz w:val="24"/>
          <w:szCs w:val="24"/>
        </w:rPr>
      </w:pPr>
      <w:r w:rsidRPr="00310C31">
        <w:rPr>
          <w:rFonts w:cs="Times New Roman"/>
          <w:b/>
          <w:sz w:val="24"/>
          <w:szCs w:val="24"/>
        </w:rPr>
        <w:t>13. Contesta las 10 preguntas formuladas por Camps con relación a la 2ª GM (Camps, pp.99-105).</w:t>
      </w:r>
    </w:p>
    <w:p w14:paraId="68AF9205" w14:textId="073F0B4A" w:rsidR="00730ED6" w:rsidRPr="00310C31" w:rsidRDefault="00310C31" w:rsidP="009F4197">
      <w:pPr>
        <w:rPr>
          <w:rFonts w:cs="Times New Roman"/>
          <w:bCs/>
          <w:sz w:val="24"/>
          <w:szCs w:val="24"/>
          <w:lang w:val="es-ES_tradnl"/>
        </w:rPr>
      </w:pPr>
      <w:r w:rsidRPr="00310C31">
        <w:rPr>
          <w:rFonts w:cs="Times New Roman"/>
          <w:bCs/>
          <w:sz w:val="24"/>
          <w:szCs w:val="24"/>
          <w:lang w:val="es-ES_tradnl"/>
        </w:rPr>
        <w:t>…</w:t>
      </w:r>
    </w:p>
    <w:p w14:paraId="3281B7BD" w14:textId="77777777" w:rsidR="00BB0723" w:rsidRPr="00310C31" w:rsidRDefault="00BB0723" w:rsidP="009F4197">
      <w:pPr>
        <w:rPr>
          <w:rFonts w:cs="Times New Roman"/>
          <w:b/>
          <w:sz w:val="24"/>
          <w:szCs w:val="24"/>
          <w:lang w:val="es-ES_tradnl"/>
        </w:rPr>
      </w:pPr>
    </w:p>
    <w:p w14:paraId="3572930B" w14:textId="77777777" w:rsidR="00950025" w:rsidRPr="00310C31" w:rsidRDefault="00950025" w:rsidP="009F4197">
      <w:pPr>
        <w:rPr>
          <w:rFonts w:cs="Times New Roman"/>
          <w:b/>
          <w:sz w:val="24"/>
          <w:szCs w:val="24"/>
        </w:rPr>
      </w:pPr>
    </w:p>
    <w:sectPr w:rsidR="00950025" w:rsidRPr="00310C31">
      <w:foot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8AFA3B" w14:textId="77777777" w:rsidR="009D2847" w:rsidRDefault="009D2847" w:rsidP="00D21EE1">
      <w:pPr>
        <w:spacing w:after="0" w:line="240" w:lineRule="auto"/>
      </w:pPr>
      <w:r>
        <w:separator/>
      </w:r>
    </w:p>
  </w:endnote>
  <w:endnote w:type="continuationSeparator" w:id="0">
    <w:p w14:paraId="3D13ED8D" w14:textId="77777777" w:rsidR="009D2847" w:rsidRDefault="009D2847" w:rsidP="00D21E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208925"/>
      <w:docPartObj>
        <w:docPartGallery w:val="Page Numbers (Bottom of Page)"/>
        <w:docPartUnique/>
      </w:docPartObj>
    </w:sdtPr>
    <w:sdtEndPr/>
    <w:sdtContent>
      <w:p w14:paraId="51BF6BEA" w14:textId="6CF1EEA4" w:rsidR="00D21EE1" w:rsidRDefault="00D21EE1">
        <w:pPr>
          <w:pStyle w:val="Piedepgina"/>
          <w:jc w:val="center"/>
        </w:pPr>
        <w:r>
          <w:fldChar w:fldCharType="begin"/>
        </w:r>
        <w:r>
          <w:instrText>PAGE   \* MERGEFORMAT</w:instrText>
        </w:r>
        <w:r>
          <w:fldChar w:fldCharType="separate"/>
        </w:r>
        <w:r w:rsidR="00CE19A8">
          <w:rPr>
            <w:noProof/>
          </w:rPr>
          <w:t>1</w:t>
        </w:r>
        <w:r>
          <w:fldChar w:fldCharType="end"/>
        </w:r>
      </w:p>
    </w:sdtContent>
  </w:sdt>
  <w:p w14:paraId="61B6DF9C" w14:textId="77777777" w:rsidR="00D21EE1" w:rsidRDefault="00D21EE1">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E95BB8" w14:textId="77777777" w:rsidR="009D2847" w:rsidRDefault="009D2847" w:rsidP="00D21EE1">
      <w:pPr>
        <w:spacing w:after="0" w:line="240" w:lineRule="auto"/>
      </w:pPr>
      <w:r>
        <w:separator/>
      </w:r>
    </w:p>
  </w:footnote>
  <w:footnote w:type="continuationSeparator" w:id="0">
    <w:p w14:paraId="3ED4C5D1" w14:textId="77777777" w:rsidR="009D2847" w:rsidRDefault="009D2847" w:rsidP="00D21EE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B12B9D"/>
    <w:multiLevelType w:val="hybridMultilevel"/>
    <w:tmpl w:val="D44C0EA4"/>
    <w:lvl w:ilvl="0" w:tplc="4320ABA4">
      <w:start w:val="1"/>
      <w:numFmt w:val="decimal"/>
      <w:lvlText w:val="%1."/>
      <w:lvlJc w:val="left"/>
      <w:pPr>
        <w:ind w:left="360" w:hanging="360"/>
      </w:pPr>
      <w:rPr>
        <w:rFont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
    <w:nsid w:val="61024D4C"/>
    <w:multiLevelType w:val="hybridMultilevel"/>
    <w:tmpl w:val="4EA8E5AA"/>
    <w:lvl w:ilvl="0" w:tplc="4320ABA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79B61B13"/>
    <w:multiLevelType w:val="hybridMultilevel"/>
    <w:tmpl w:val="CA107C4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65FB"/>
    <w:rsid w:val="001C2BFB"/>
    <w:rsid w:val="00265DF8"/>
    <w:rsid w:val="00310C31"/>
    <w:rsid w:val="00376049"/>
    <w:rsid w:val="004D49D5"/>
    <w:rsid w:val="00546B93"/>
    <w:rsid w:val="00730ED6"/>
    <w:rsid w:val="00751875"/>
    <w:rsid w:val="007743E9"/>
    <w:rsid w:val="00780140"/>
    <w:rsid w:val="007D65FB"/>
    <w:rsid w:val="008A5C0A"/>
    <w:rsid w:val="00950025"/>
    <w:rsid w:val="009C1891"/>
    <w:rsid w:val="009D2847"/>
    <w:rsid w:val="009F4197"/>
    <w:rsid w:val="00BB0418"/>
    <w:rsid w:val="00BB0723"/>
    <w:rsid w:val="00C56D22"/>
    <w:rsid w:val="00CE19A8"/>
    <w:rsid w:val="00CE1E8C"/>
    <w:rsid w:val="00D21EE1"/>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1ECA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65FB"/>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A5C0A"/>
    <w:pPr>
      <w:ind w:left="720"/>
      <w:contextualSpacing/>
    </w:pPr>
  </w:style>
  <w:style w:type="paragraph" w:styleId="Encabezado">
    <w:name w:val="header"/>
    <w:basedOn w:val="Normal"/>
    <w:link w:val="EncabezadoCar"/>
    <w:uiPriority w:val="99"/>
    <w:unhideWhenUsed/>
    <w:rsid w:val="00D21EE1"/>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D21EE1"/>
  </w:style>
  <w:style w:type="paragraph" w:styleId="Piedepgina">
    <w:name w:val="footer"/>
    <w:basedOn w:val="Normal"/>
    <w:link w:val="PiedepginaCar"/>
    <w:uiPriority w:val="99"/>
    <w:unhideWhenUsed/>
    <w:rsid w:val="00D21EE1"/>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D21E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65FB"/>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A5C0A"/>
    <w:pPr>
      <w:ind w:left="720"/>
      <w:contextualSpacing/>
    </w:pPr>
  </w:style>
  <w:style w:type="paragraph" w:styleId="Encabezado">
    <w:name w:val="header"/>
    <w:basedOn w:val="Normal"/>
    <w:link w:val="EncabezadoCar"/>
    <w:uiPriority w:val="99"/>
    <w:unhideWhenUsed/>
    <w:rsid w:val="00D21EE1"/>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D21EE1"/>
  </w:style>
  <w:style w:type="paragraph" w:styleId="Piedepgina">
    <w:name w:val="footer"/>
    <w:basedOn w:val="Normal"/>
    <w:link w:val="PiedepginaCar"/>
    <w:uiPriority w:val="99"/>
    <w:unhideWhenUsed/>
    <w:rsid w:val="00D21EE1"/>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D21E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7</Pages>
  <Words>2480</Words>
  <Characters>13640</Characters>
  <Application>Microsoft Office Word</Application>
  <DocSecurity>0</DocSecurity>
  <Lines>113</Lines>
  <Paragraphs>32</Paragraphs>
  <ScaleCrop>false</ScaleCrop>
  <HeadingPairs>
    <vt:vector size="2" baseType="variant">
      <vt:variant>
        <vt:lpstr>Título</vt:lpstr>
      </vt:variant>
      <vt:variant>
        <vt:i4>1</vt:i4>
      </vt:variant>
    </vt:vector>
  </HeadingPairs>
  <TitlesOfParts>
    <vt:vector size="1" baseType="lpstr">
      <vt:lpstr/>
    </vt:vector>
  </TitlesOfParts>
  <Company>ULPGC</Company>
  <LinksUpToDate>false</LinksUpToDate>
  <CharactersWithSpaces>16088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Jaime</cp:lastModifiedBy>
  <cp:revision>12</cp:revision>
  <dcterms:created xsi:type="dcterms:W3CDTF">2015-01-11T16:20:00Z</dcterms:created>
  <dcterms:modified xsi:type="dcterms:W3CDTF">2015-01-17T22:34:00Z</dcterms:modified>
</cp:coreProperties>
</file>